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Australia</w:t>
      </w:r>
      <w:r>
        <w:t xml:space="preserve"> </w:t>
      </w:r>
      <w:r>
        <w:t xml:space="preserve">Brisbane</w:t>
      </w:r>
    </w:p>
    <w:p>
      <w:pPr>
        <w:pStyle w:val="FirstParagraph"/>
      </w:pPr>
      <w:r>
        <w:t xml:space="preserve">PO-2025-BNE-04872</w:t>
      </w:r>
    </w:p>
    <w:p>
      <w:pPr>
        <w:pStyle w:val="BodyText"/>
      </w:pPr>
      <w:r>
        <w:t xml:space="preserve">Date: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Professional Services Engagement —</w:t>
      </w:r>
      <w:r>
        <w:t xml:space="preserve"> </w:t>
      </w:r>
      <w:r>
        <w:t xml:space="preserve">Electrical Engineer</w:t>
      </w:r>
      <w:r>
        <w:t xml:space="preserve"> </w:t>
      </w:r>
      <w:r>
        <w:t xml:space="preserve">—</w:t>
      </w:r>
      <w:r>
        <w:t xml:space="preserve"> </w:t>
      </w:r>
      <w:r>
        <w:t xml:space="preserve">Australia Brisbane</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Meridian Infrastructure Solutions Pty Ltd</w:t>
      </w:r>
      <w:r>
        <w:br/>
      </w:r>
      <w:r>
        <w:t xml:space="preserve">ABN: 48 217 654 321</w:t>
      </w:r>
      <w:r>
        <w:br/>
      </w:r>
      <w:r>
        <w:t xml:space="preserve">Level 12, 400 George Street</w:t>
      </w:r>
      <w:r>
        <w:br/>
      </w:r>
      <w:r>
        <w:t xml:space="preserve">Brisbane</w:t>
      </w:r>
      <w:r>
        <w:t xml:space="preserve">, Queensland 4000</w:t>
      </w:r>
      <w:r>
        <w:br/>
      </w:r>
      <w:r>
        <w:t xml:space="preserve">Australia</w:t>
      </w:r>
      <w:r>
        <w:br/>
      </w:r>
      <w:r>
        <w:t xml:space="preserve">Contact: procurement@meridianinfra.com.au</w:t>
      </w:r>
      <w:r>
        <w:br/>
      </w:r>
      <w:r>
        <w:t xml:space="preserve">Phone: +61 7 3100 4455</w:t>
      </w:r>
    </w:p>
    <w:p>
      <w:pPr>
        <w:pStyle w:val="BodyText"/>
      </w:pPr>
      <w:r>
        <w:rPr>
          <w:bCs/>
          <w:b/>
        </w:rPr>
        <w:t xml:space="preserve">Service Provider (Supplier):</w:t>
      </w:r>
    </w:p>
    <w:p>
      <w:pPr>
        <w:pStyle w:val="BodyText"/>
      </w:pPr>
      <w:r>
        <w:t xml:space="preserve">Apex Electrical Engineering Consultancy</w:t>
      </w:r>
      <w:r>
        <w:br/>
      </w:r>
      <w:r>
        <w:t xml:space="preserve">ACN: 61 983 247 560</w:t>
      </w:r>
      <w:r>
        <w:br/>
      </w:r>
      <w:r>
        <w:t xml:space="preserve">Unit 7, 15 Creek Street</w:t>
      </w:r>
      <w:r>
        <w:br/>
      </w:r>
      <w:r>
        <w:t xml:space="preserve">Brisbane</w:t>
      </w:r>
      <w:r>
        <w:t xml:space="preserve">, Queensland 4000</w:t>
      </w:r>
      <w:r>
        <w:br/>
      </w:r>
      <w:r>
        <w:t xml:space="preserve">Australia</w:t>
      </w:r>
      <w:r>
        <w:br/>
      </w:r>
      <w:r>
        <w:t xml:space="preserve">Contact: contracts@apexelec.com.au</w:t>
      </w:r>
      <w:r>
        <w:br/>
      </w:r>
      <w:r>
        <w:t xml:space="preserve">Phone: +61 7 3220 8899</w:t>
      </w:r>
    </w:p>
    <w:bookmarkEnd w:id="21"/>
    <w:bookmarkStart w:id="22"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Meridian Infrastructure Solutions Pty Ltd to formally engage the services of a qualified</w:t>
      </w:r>
      <w:r>
        <w:t xml:space="preserve"> </w:t>
      </w:r>
      <w:r>
        <w:t xml:space="preserve">Electrical Engineer</w:t>
      </w:r>
      <w:r>
        <w:t xml:space="preserve"> </w:t>
      </w:r>
      <w:r>
        <w:t xml:space="preserve">to deliver design, review, and compliance certification services for the Southbank Commercial Precinct electrical infrastructure upgrade project located in</w:t>
      </w:r>
      <w:r>
        <w:t xml:space="preserve"> </w:t>
      </w:r>
      <w:r>
        <w:t xml:space="preserve">Brisbane</w:t>
      </w:r>
      <w:r>
        <w:t xml:space="preserve">, Queensland,</w:t>
      </w:r>
      <w:r>
        <w:t xml:space="preserve"> </w:t>
      </w:r>
      <w:r>
        <w:t xml:space="preserve">Australia</w:t>
      </w:r>
      <w:r>
        <w:t xml:space="preserve">. The</w:t>
      </w:r>
      <w:r>
        <w:t xml:space="preserve"> </w:t>
      </w:r>
      <w:r>
        <w:t xml:space="preserve">Electrical Engineer</w:t>
      </w:r>
      <w:r>
        <w:t xml:space="preserve"> </w:t>
      </w:r>
      <w:r>
        <w:t xml:space="preserve">shall be responsible for all low-voltage and high-voltage electrical system design, load calculations, switchgear specification, and statutory compliance in accordance with the Australian and New Zealand Wiring Rules (AS/NZS 3000:2018) and the Queensland Building and Fire Authority (QBFA) regulations.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w:t>
            </w:r>
            <w:r>
              <w:t xml:space="preserve"> </w:t>
            </w:r>
            <w:r>
              <w:t xml:space="preserve">Electrical Engineer</w:t>
            </w:r>
            <w:r>
              <w:t xml:space="preserve"> </w:t>
            </w:r>
            <w:r>
              <w:t xml:space="preserve">— Full electrical system design for 12-storey commercial building,</w:t>
            </w:r>
            <w:r>
              <w:t xml:space="preserve"> </w:t>
            </w:r>
            <w:r>
              <w:t xml:space="preserve">Brisbane</w:t>
            </w:r>
            <w:r>
              <w:t xml:space="preserve"> </w:t>
            </w:r>
            <w:r>
              <w:t xml:space="preserve">CBD</w:t>
            </w:r>
          </w:p>
        </w:tc>
        <w:tc>
          <w:tcPr/>
          <w:p>
            <w:pPr>
              <w:pStyle w:val="Compact"/>
              <w:jc w:val="left"/>
            </w:pPr>
            <w:r>
              <w:t xml:space="preserve">180 hrs</w:t>
            </w:r>
          </w:p>
        </w:tc>
        <w:tc>
          <w:tcPr/>
          <w:p>
            <w:pPr>
              <w:pStyle w:val="Compact"/>
              <w:jc w:val="left"/>
            </w:pPr>
            <w:r>
              <w:t xml:space="preserve">$185.00</w:t>
            </w:r>
          </w:p>
        </w:tc>
        <w:tc>
          <w:tcPr/>
          <w:p>
            <w:pPr>
              <w:pStyle w:val="Compact"/>
              <w:jc w:val="left"/>
            </w:pPr>
            <w:r>
              <w:t xml:space="preserve">$33,300.00</w:t>
            </w:r>
          </w:p>
        </w:tc>
      </w:tr>
      <w:tr>
        <w:tc>
          <w:tcPr/>
          <w:p>
            <w:pPr>
              <w:pStyle w:val="Compact"/>
              <w:jc w:val="left"/>
            </w:pPr>
            <w:r>
              <w:t xml:space="preserve">02</w:t>
            </w:r>
          </w:p>
        </w:tc>
        <w:tc>
          <w:tcPr/>
          <w:p>
            <w:pPr>
              <w:pStyle w:val="Compact"/>
              <w:jc w:val="left"/>
            </w:pPr>
            <w:r>
              <w:t xml:space="preserve">Electrical load study and power factor correction analysis for</w:t>
            </w:r>
            <w:r>
              <w:t xml:space="preserve"> </w:t>
            </w:r>
            <w:r>
              <w:t xml:space="preserve">Australia Brisbane</w:t>
            </w:r>
            <w:r>
              <w:t xml:space="preserve"> </w:t>
            </w:r>
            <w:r>
              <w:t xml:space="preserve">site</w:t>
            </w:r>
          </w:p>
        </w:tc>
        <w:tc>
          <w:tcPr/>
          <w:p>
            <w:pPr>
              <w:pStyle w:val="Compact"/>
              <w:jc w:val="left"/>
            </w:pPr>
            <w:r>
              <w:t xml:space="preserve">40 hrs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Switchgear and distribution board specification &amp; procurement documentation</w:t>
            </w:r>
          </w:p>
        </w:tc>
        <w:tc>
          <w:tcPr/>
          <w:p>
            <w:pPr>
              <w:pStyle w:val="Compact"/>
              <w:jc w:val="left"/>
            </w:pPr>
            <w:r>
              <w:t xml:space="preserve">60 hrs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Statutory compliance review — QBFA and Energy Safe</w:t>
            </w:r>
            <w:r>
              <w:t xml:space="preserve"> </w:t>
            </w:r>
            <w:r>
              <w:t xml:space="preserve">Australia</w:t>
            </w:r>
            <w:r>
              <w:t xml:space="preserve"> </w:t>
            </w:r>
            <w:r>
              <w:t xml:space="preserve">(QLD) certification</w:t>
            </w:r>
          </w:p>
        </w:tc>
        <w:tc>
          <w:tcPr/>
          <w:p>
            <w:pPr>
              <w:pStyle w:val="Compact"/>
              <w:jc w:val="left"/>
            </w:pPr>
            <w:r>
              <w:t xml:space="preserve">30 hrs</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05</w:t>
            </w:r>
          </w:p>
        </w:tc>
        <w:tc>
          <w:tcPr/>
          <w:p>
            <w:pPr>
              <w:pStyle w:val="Compact"/>
              <w:jc w:val="left"/>
            </w:pPr>
            <w:r>
              <w:t xml:space="preserve">Site supervision and as-built documentation,</w:t>
            </w:r>
            <w:r>
              <w:t xml:space="preserve"> </w:t>
            </w:r>
            <w:r>
              <w:t xml:space="preserve">Brisbane</w:t>
            </w:r>
            <w:r>
              <w:t xml:space="preserve"> </w:t>
            </w:r>
            <w:r>
              <w:t xml:space="preserve">project location</w:t>
            </w:r>
          </w:p>
        </w:tc>
        <w:tc>
          <w:tcPr/>
          <w:p>
            <w:pPr>
              <w:pStyle w:val="Compact"/>
              <w:jc w:val="left"/>
            </w:pPr>
            <w:r>
              <w:t xml:space="preserve">50 hrs</w:t>
            </w:r>
          </w:p>
        </w:tc>
        <w:tc>
          <w:tcPr/>
          <w:p>
            <w:pPr>
              <w:pStyle w:val="Compact"/>
              <w:jc w:val="left"/>
            </w:pPr>
            <w:r>
              <w:t xml:space="preserve">$155.00</w:t>
            </w:r>
          </w:p>
        </w:tc>
        <w:tc>
          <w:tcPr/>
          <w:p>
            <w:pPr>
              <w:pStyle w:val="Compact"/>
              <w:jc w:val="left"/>
            </w:pPr>
            <w:r>
              <w:t xml:space="preserve">$7,750.00</w:t>
            </w:r>
          </w:p>
        </w:tc>
      </w:tr>
      <w:tr>
        <w:tc>
          <w:tcPr/>
          <w:p>
            <w:pPr>
              <w:pStyle w:val="Compact"/>
              <w:jc w:val="left"/>
            </w:pPr>
            <w:r>
              <w:t xml:space="preserve">06</w:t>
            </w:r>
          </w:p>
        </w:tc>
        <w:tc>
          <w:tcPr/>
          <w:p>
            <w:pPr>
              <w:pStyle w:val="Compact"/>
              <w:jc w:val="left"/>
            </w:pPr>
            <w:r>
              <w:t xml:space="preserve">Emergency power and backup generator system design (AS/NZS 3008 compliance)</w:t>
            </w:r>
          </w:p>
        </w:tc>
        <w:tc>
          <w:tcPr/>
          <w:p>
            <w:pPr>
              <w:pStyle w:val="Compact"/>
              <w:jc w:val="left"/>
            </w:pPr>
            <w:r>
              <w:t xml:space="preserve">35 hrs</w:t>
            </w:r>
          </w:p>
        </w:tc>
        <w:tc>
          <w:tcPr/>
          <w:p>
            <w:pPr>
              <w:pStyle w:val="Compact"/>
              <w:jc w:val="left"/>
            </w:pPr>
            <w:r>
              <w:t xml:space="preserve">$185.00</w:t>
            </w:r>
          </w:p>
        </w:tc>
        <w:tc>
          <w:tcPr/>
          <w:p>
            <w:pPr>
              <w:pStyle w:val="Compact"/>
              <w:jc w:val="left"/>
            </w:pPr>
            <w:r>
              <w:t xml:space="preserve">$6,475.00</w:t>
            </w:r>
          </w:p>
        </w:tc>
      </w:tr>
      <w:tr>
        <w:tc>
          <w:tcPr>
            <w:gridSpan w:val="4"/>
          </w:tcPr>
          <w:p>
            <w:pPr>
              <w:pStyle w:val="Compact"/>
              <w:jc w:val="left"/>
            </w:pPr>
            <w:r>
              <w:t xml:space="preserve">Subtotal</w:t>
            </w:r>
          </w:p>
        </w:tc>
        <w:tc>
          <w:tcPr/>
          <w:p>
            <w:pPr>
              <w:pStyle w:val="Compact"/>
              <w:jc w:val="left"/>
            </w:pPr>
            <w:r>
              <w:t xml:space="preserve">$70,475.00</w:t>
            </w:r>
          </w:p>
        </w:tc>
      </w:tr>
      <w:tr>
        <w:tc>
          <w:tcPr>
            <w:gridSpan w:val="4"/>
          </w:tcPr>
          <w:p>
            <w:pPr>
              <w:pStyle w:val="Compact"/>
              <w:jc w:val="left"/>
            </w:pPr>
            <w:r>
              <w:t xml:space="preserve">GST (10%)</w:t>
            </w:r>
          </w:p>
        </w:tc>
        <w:tc>
          <w:tcPr/>
          <w:p>
            <w:pPr>
              <w:pStyle w:val="Compact"/>
              <w:jc w:val="left"/>
            </w:pPr>
            <w:r>
              <w:t xml:space="preserve">$7,047.50</w:t>
            </w:r>
          </w:p>
        </w:tc>
      </w:tr>
      <w:tr>
        <w:tc>
          <w:tcPr>
            <w:gridSpan w:val="4"/>
          </w:tcPr>
          <w:p>
            <w:pPr>
              <w:pStyle w:val="Compact"/>
              <w:jc w:val="left"/>
            </w:pPr>
            <w:r>
              <w:rPr>
                <w:bCs/>
                <w:b/>
              </w:rPr>
              <w:t xml:space="preserve">Total Purchase Order Value (AUD)</w:t>
            </w:r>
          </w:p>
        </w:tc>
        <w:tc>
          <w:tcPr/>
          <w:p>
            <w:pPr>
              <w:pStyle w:val="Compact"/>
              <w:jc w:val="left"/>
            </w:pPr>
            <w:r>
              <w:rPr>
                <w:bCs/>
                <w:b/>
              </w:rPr>
              <w:t xml:space="preserve">$77,522.50</w:t>
            </w:r>
          </w:p>
        </w:tc>
      </w:tr>
    </w:tbl>
    <w:bookmarkEnd w:id="23"/>
    <w:bookmarkStart w:id="24" w:name="delivery-performance-schedule"/>
    <w:p>
      <w:pPr>
        <w:pStyle w:val="Heading2"/>
      </w:pPr>
      <w:r>
        <w:t xml:space="preserve">4. Delivery &amp; Performance Schedule</w:t>
      </w:r>
    </w:p>
    <w:p>
      <w:pPr>
        <w:pStyle w:val="FirstParagraph"/>
      </w:pPr>
      <w:r>
        <w:t xml:space="preserve">The</w:t>
      </w:r>
      <w:r>
        <w:t xml:space="preserve"> </w:t>
      </w:r>
      <w:r>
        <w:t xml:space="preserve">Electrical Engineer</w:t>
      </w:r>
      <w:r>
        <w:t xml:space="preserve"> </w:t>
      </w:r>
      <w:r>
        <w:t xml:space="preserve">shall commence work on 1 July 2025 and complete all deliverables no later than 30 November 2025. All work shall be performed at the project site in</w:t>
      </w:r>
      <w:r>
        <w:t xml:space="preserve"> </w:t>
      </w:r>
      <w:r>
        <w:t xml:space="preserve">Brisbane</w:t>
      </w:r>
      <w:r>
        <w:t xml:space="preserve">, Queensland,</w:t>
      </w:r>
      <w:r>
        <w:t xml:space="preserve"> </w:t>
      </w:r>
      <w:r>
        <w:t xml:space="preserve">Australia</w:t>
      </w:r>
      <w:r>
        <w:t xml:space="preserve">, unless otherwise agreed in writing. Milestone deliverables are as follows:</w:t>
      </w:r>
    </w:p>
    <w:p>
      <w:pPr>
        <w:numPr>
          <w:ilvl w:val="0"/>
          <w:numId w:val="1001"/>
        </w:numPr>
        <w:pStyle w:val="Compact"/>
      </w:pPr>
      <w:r>
        <w:rPr>
          <w:bCs/>
          <w:b/>
        </w:rPr>
        <w:t xml:space="preserve">Milestone 1 (31 July 2025):</w:t>
      </w:r>
      <w:r>
        <w:t xml:space="preserve"> </w:t>
      </w:r>
      <w:r>
        <w:t xml:space="preserve">Preliminary electrical design package and load study submitted for buyer review.</w:t>
      </w:r>
    </w:p>
    <w:p>
      <w:pPr>
        <w:numPr>
          <w:ilvl w:val="0"/>
          <w:numId w:val="1001"/>
        </w:numPr>
        <w:pStyle w:val="Compact"/>
      </w:pPr>
      <w:r>
        <w:rPr>
          <w:bCs/>
          <w:b/>
        </w:rPr>
        <w:t xml:space="preserve">Milestone 2 (30 September 2025):</w:t>
      </w:r>
      <w:r>
        <w:t xml:space="preserve"> </w:t>
      </w:r>
      <w:r>
        <w:t xml:space="preserve">Detailed design, switchgear schedules, and single-line diagrams completed.</w:t>
      </w:r>
    </w:p>
    <w:p>
      <w:pPr>
        <w:numPr>
          <w:ilvl w:val="0"/>
          <w:numId w:val="1001"/>
        </w:numPr>
        <w:pStyle w:val="Compact"/>
      </w:pPr>
      <w:r>
        <w:rPr>
          <w:bCs/>
          <w:b/>
        </w:rPr>
        <w:t xml:space="preserve">Milestone 3 (31 October 2025):</w:t>
      </w:r>
      <w:r>
        <w:t xml:space="preserve"> </w:t>
      </w:r>
      <w:r>
        <w:t xml:space="preserve">Statutory compliance documentation lodged with QBFA and Energy Safe</w:t>
      </w:r>
      <w:r>
        <w:t xml:space="preserve"> </w:t>
      </w:r>
      <w:r>
        <w:t xml:space="preserve">Australia</w:t>
      </w:r>
      <w:r>
        <w:t xml:space="preserve">.</w:t>
      </w:r>
    </w:p>
    <w:p>
      <w:pPr>
        <w:numPr>
          <w:ilvl w:val="0"/>
          <w:numId w:val="1001"/>
        </w:numPr>
        <w:pStyle w:val="Compact"/>
      </w:pPr>
      <w:r>
        <w:rPr>
          <w:bCs/>
          <w:b/>
        </w:rPr>
        <w:t xml:space="preserve">Milestone 4 (30 November 2025):</w:t>
      </w:r>
      <w:r>
        <w:t xml:space="preserve"> </w:t>
      </w:r>
      <w:r>
        <w:t xml:space="preserve">Final as-built documentation, commissioning reports, and handover package delivered.</w:t>
      </w:r>
    </w:p>
    <w:bookmarkEnd w:id="24"/>
    <w:bookmarkStart w:id="25" w:name="payment-terms"/>
    <w:p>
      <w:pPr>
        <w:pStyle w:val="Heading2"/>
      </w:pPr>
      <w:r>
        <w:t xml:space="preserve">5. Payment Terms</w:t>
      </w:r>
    </w:p>
    <w:p>
      <w:pPr>
        <w:pStyle w:val="FirstParagraph"/>
      </w:pPr>
      <w:r>
        <w:t xml:space="preserve">Payment against this</w:t>
      </w:r>
      <w:r>
        <w:t xml:space="preserve"> </w:t>
      </w:r>
      <w:r>
        <w:t xml:space="preserve">Purchase Order</w:t>
      </w:r>
      <w:r>
        <w:t xml:space="preserve"> </w:t>
      </w:r>
      <w:r>
        <w:t xml:space="preserve">shall be made in accordance with the following schedule. All payments are denominated in Australian Dollars (AUD) and shall be remitted via electronic funds transfer (EFT) to the supplier's nominated bank account in</w:t>
      </w:r>
      <w:r>
        <w:t xml:space="preserve"> </w:t>
      </w:r>
      <w:r>
        <w:t xml:space="preserve">Australia</w:t>
      </w:r>
      <w:r>
        <w:t xml:space="preserve">.</w:t>
      </w:r>
    </w:p>
    <w:p>
      <w:pPr>
        <w:numPr>
          <w:ilvl w:val="0"/>
          <w:numId w:val="1002"/>
        </w:numPr>
        <w:pStyle w:val="Compact"/>
      </w:pPr>
      <w:r>
        <w:t xml:space="preserve">30% upon acceptance of this</w:t>
      </w:r>
      <w:r>
        <w:t xml:space="preserve"> </w:t>
      </w:r>
      <w:r>
        <w:t xml:space="preserve">Purchase Order</w:t>
      </w:r>
      <w:r>
        <w:t xml:space="preserve"> </w:t>
      </w:r>
      <w:r>
        <w:t xml:space="preserve">and commencement of services.</w:t>
      </w:r>
    </w:p>
    <w:p>
      <w:pPr>
        <w:numPr>
          <w:ilvl w:val="0"/>
          <w:numId w:val="1002"/>
        </w:numPr>
        <w:pStyle w:val="Compact"/>
      </w:pPr>
      <w:r>
        <w:t xml:space="preserve">25% upon completion of Milestone 2.</w:t>
      </w:r>
    </w:p>
    <w:p>
      <w:pPr>
        <w:numPr>
          <w:ilvl w:val="0"/>
          <w:numId w:val="1002"/>
        </w:numPr>
        <w:pStyle w:val="Compact"/>
      </w:pPr>
      <w:r>
        <w:t xml:space="preserve">25% upon completion of Milestone 3.</w:t>
      </w:r>
    </w:p>
    <w:p>
      <w:pPr>
        <w:numPr>
          <w:ilvl w:val="0"/>
          <w:numId w:val="1002"/>
        </w:numPr>
        <w:pStyle w:val="Compact"/>
      </w:pPr>
      <w:r>
        <w:t xml:space="preserve">20% upon final acceptance of all deliverables at Milestone 4.</w:t>
      </w:r>
    </w:p>
    <w:p>
      <w:pPr>
        <w:pStyle w:val="FirstParagraph"/>
      </w:pPr>
      <w:r>
        <w:t xml:space="preserve">Payment terms are Net 30 days from the date of a valid tax invoice. Late payments shall attract interest at the rate prescribed under the</w:t>
      </w:r>
      <w:r>
        <w:t xml:space="preserve"> </w:t>
      </w:r>
      <w:r>
        <w:rPr>
          <w:iCs/>
          <w:i/>
        </w:rPr>
        <w:t xml:space="preserve">Interest on Late Payments of Small Business Debts Act 2019</w:t>
      </w:r>
      <w:r>
        <w:t xml:space="preserve"> </w:t>
      </w:r>
      <w:r>
        <w:t xml:space="preserve">(Cth), applicable within</w:t>
      </w:r>
      <w:r>
        <w:t xml:space="preserve"> </w:t>
      </w:r>
      <w:r>
        <w:t xml:space="preserve">Australia</w:t>
      </w:r>
      <w:r>
        <w:t xml:space="preserve">.</w:t>
      </w:r>
    </w:p>
    <w:bookmarkEnd w:id="25"/>
    <w:bookmarkStart w:id="26" w:name="terms-conditions"/>
    <w:p>
      <w:pPr>
        <w:pStyle w:val="Heading2"/>
      </w:pPr>
      <w:r>
        <w:t xml:space="preserve">6. Terms &amp; Conditions</w:t>
      </w:r>
    </w:p>
    <w:p>
      <w:pPr>
        <w:numPr>
          <w:ilvl w:val="0"/>
          <w:numId w:val="1003"/>
        </w:numPr>
        <w:pStyle w:val="Compact"/>
      </w:pPr>
      <w:r>
        <w:t xml:space="preserve">This</w:t>
      </w:r>
      <w:r>
        <w:t xml:space="preserve"> </w:t>
      </w:r>
      <w:r>
        <w:t xml:space="preserve">Purchase Order</w:t>
      </w:r>
      <w:r>
        <w:t xml:space="preserve"> </w:t>
      </w:r>
      <w:r>
        <w:t xml:space="preserve">is governed by the laws of the State of Queensland and the Commonwealth of</w:t>
      </w:r>
      <w:r>
        <w:t xml:space="preserve"> </w:t>
      </w:r>
      <w:r>
        <w:t xml:space="preserve">Australia</w:t>
      </w:r>
      <w:r>
        <w:t xml:space="preserve">. Any disputes shall be resolved through the Queensland Small Business Commission or the Supreme Court of Queensland,</w:t>
      </w:r>
      <w:r>
        <w:t xml:space="preserve"> </w:t>
      </w:r>
      <w:r>
        <w:t xml:space="preserve">Brisbane</w:t>
      </w:r>
      <w:r>
        <w:t xml:space="preserve">.</w:t>
      </w:r>
    </w:p>
    <w:p>
      <w:pPr>
        <w:numPr>
          <w:ilvl w:val="0"/>
          <w:numId w:val="1003"/>
        </w:numPr>
        <w:pStyle w:val="Compact"/>
      </w:pPr>
      <w:r>
        <w:t xml:space="preserve">The</w:t>
      </w:r>
      <w:r>
        <w:t xml:space="preserve"> </w:t>
      </w:r>
      <w:r>
        <w:t xml:space="preserve">Electrical Engineer</w:t>
      </w:r>
      <w:r>
        <w:t xml:space="preserve"> </w:t>
      </w:r>
      <w:r>
        <w:t xml:space="preserve">must hold a valid registration with Engineers Australia and a current Queensland electrical contractor licence (or operate under the supervision of a licensed contractor) as required by the</w:t>
      </w:r>
      <w:r>
        <w:t xml:space="preserve"> </w:t>
      </w:r>
      <w:r>
        <w:rPr>
          <w:iCs/>
          <w:i/>
        </w:rPr>
        <w:t xml:space="preserve">Electrical Safety Act 2002</w:t>
      </w:r>
      <w:r>
        <w:t xml:space="preserve"> </w:t>
      </w:r>
      <w:r>
        <w:t xml:space="preserve">(Qld).</w:t>
      </w:r>
    </w:p>
    <w:p>
      <w:pPr>
        <w:numPr>
          <w:ilvl w:val="0"/>
          <w:numId w:val="1003"/>
        </w:numPr>
        <w:pStyle w:val="Compact"/>
      </w:pPr>
      <w:r>
        <w:t xml:space="preserve">The supplier shall maintain professional indemnity insurance of no less than AUD $10,000,000 and public liability insurance of no less than AUD $20,000,000 for the duration of the engagement in</w:t>
      </w:r>
      <w:r>
        <w:t xml:space="preserve"> </w:t>
      </w:r>
      <w:r>
        <w:t xml:space="preserve">Australia Brisbane</w:t>
      </w:r>
      <w:r>
        <w:t xml:space="preserve">.</w:t>
      </w:r>
    </w:p>
    <w:p>
      <w:pPr>
        <w:numPr>
          <w:ilvl w:val="0"/>
          <w:numId w:val="1003"/>
        </w:numPr>
        <w:pStyle w:val="Compact"/>
      </w:pPr>
      <w:r>
        <w:t xml:space="preserve">All intellectual property, design documents, and deliverables produced under this</w:t>
      </w:r>
      <w:r>
        <w:t xml:space="preserve"> </w:t>
      </w:r>
      <w:r>
        <w:t xml:space="preserve">Purchase Order</w:t>
      </w:r>
      <w:r>
        <w:t xml:space="preserve"> </w:t>
      </w:r>
      <w:r>
        <w:t xml:space="preserve">shall become the sole property of the purchasing entity upon full payment.</w:t>
      </w:r>
    </w:p>
    <w:p>
      <w:pPr>
        <w:numPr>
          <w:ilvl w:val="0"/>
          <w:numId w:val="1003"/>
        </w:numPr>
        <w:pStyle w:val="Compact"/>
      </w:pPr>
      <w:r>
        <w:t xml:space="preserve">The</w:t>
      </w:r>
      <w:r>
        <w:t xml:space="preserve"> </w:t>
      </w:r>
      <w:r>
        <w:t xml:space="preserve">Electrical Engineer</w:t>
      </w:r>
      <w:r>
        <w:t xml:space="preserve"> </w:t>
      </w:r>
      <w:r>
        <w:t xml:space="preserve">shall comply with all applicable Australian Standards, including but not limited to AS/NZS 3000, AS/NZS 3008, AS/NZS 3003, and AS/NZS 3012.</w:t>
      </w:r>
    </w:p>
    <w:p>
      <w:pPr>
        <w:numPr>
          <w:ilvl w:val="0"/>
          <w:numId w:val="1003"/>
        </w:numPr>
        <w:pStyle w:val="Compact"/>
      </w:pPr>
      <w:r>
        <w:t xml:space="preserve">Either party may terminate this</w:t>
      </w:r>
      <w:r>
        <w:t xml:space="preserve"> </w:t>
      </w:r>
      <w:r>
        <w:t xml:space="preserve">Purchase Order</w:t>
      </w:r>
      <w:r>
        <w:t xml:space="preserve"> </w:t>
      </w:r>
      <w:r>
        <w:t xml:space="preserve">with 14 days' written notice. In the event of termination, the supplier shall be compensated for work completed and documented up to the date of termination.</w:t>
      </w:r>
    </w:p>
    <w:p>
      <w:pPr>
        <w:numPr>
          <w:ilvl w:val="0"/>
          <w:numId w:val="1003"/>
        </w:numPr>
        <w:pStyle w:val="Compact"/>
      </w:pPr>
      <w:r>
        <w:t xml:space="preserve">The supplier warrants that all services rendered by the</w:t>
      </w:r>
      <w:r>
        <w:t xml:space="preserve"> </w:t>
      </w:r>
      <w:r>
        <w:t xml:space="preserve">Electrical Engineer</w:t>
      </w:r>
      <w:r>
        <w:t xml:space="preserve"> </w:t>
      </w:r>
      <w:r>
        <w:t xml:space="preserve">shall be performed in a professional, workmanlike manner consistent with industry best practice in</w:t>
      </w:r>
      <w:r>
        <w:t xml:space="preserve"> </w:t>
      </w:r>
      <w:r>
        <w:t xml:space="preserve">Australia Brisbane</w:t>
      </w:r>
      <w:r>
        <w:t xml:space="preserve"> </w:t>
      </w:r>
      <w:r>
        <w:t xml:space="preserve">and the broader</w:t>
      </w:r>
      <w:r>
        <w:t xml:space="preserve"> </w:t>
      </w:r>
      <w:r>
        <w:t xml:space="preserve">Australia</w:t>
      </w:r>
      <w:r>
        <w:t xml:space="preserve"> </w:t>
      </w:r>
      <w:r>
        <w:t xml:space="preserve">electrical engineering sector.</w:t>
      </w:r>
    </w:p>
    <w:bookmarkEnd w:id="26"/>
    <w:bookmarkStart w:id="27" w:name="acceptance-authorisation"/>
    <w:p>
      <w:pPr>
        <w:pStyle w:val="Heading2"/>
      </w:pPr>
      <w:r>
        <w:t xml:space="preserve">7. Acceptance &amp; Authorisation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Electrical Engineer</w:t>
      </w:r>
      <w:r>
        <w:t xml:space="preserve"> </w:t>
      </w:r>
      <w:r>
        <w:t xml:space="preserve">in</w:t>
      </w:r>
      <w:r>
        <w:t xml:space="preserve"> </w:t>
      </w:r>
      <w:r>
        <w:t xml:space="preserve">Australia Brisbane</w:t>
      </w:r>
      <w:r>
        <w:t xml:space="preserve">.</w:t>
      </w:r>
    </w:p>
    <w:p>
      <w:pPr>
        <w:pStyle w:val="BodyText"/>
      </w:pPr>
      <w:r>
        <w:rPr>
          <w:bCs/>
          <w:b/>
        </w:rPr>
        <w:t xml:space="preserve">For and on behalf of Meridian Infrastructure Solutions Pty Ltd (Buyer):</w:t>
      </w:r>
    </w:p>
    <w:p>
      <w:pPr>
        <w:pStyle w:val="BodyText"/>
      </w:pPr>
      <w:r>
        <w:t xml:space="preserve">Name: Sarah K. Whitfield</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Apex Electrical Engineering Consultancy (Supplier):</w:t>
      </w:r>
    </w:p>
    <w:p>
      <w:pPr>
        <w:pStyle w:val="BodyText"/>
      </w:pPr>
      <w:r>
        <w:t xml:space="preserve">Name: David R. Tanaka</w:t>
      </w:r>
      <w:r>
        <w:br/>
      </w:r>
      <w:r>
        <w:t xml:space="preserve">Title: Principal</w:t>
      </w:r>
      <w:r>
        <w:t xml:space="preserve"> </w:t>
      </w:r>
      <w:r>
        <w:t xml:space="preserve">Electrical Engineer</w:t>
      </w:r>
      <w:r>
        <w:t xml:space="preserve"> </w:t>
      </w:r>
      <w:r>
        <w:t xml:space="preserve">/ Managing Director</w:t>
      </w:r>
      <w:r>
        <w:br/>
      </w:r>
      <w:r>
        <w:t xml:space="preserve">Signature: _________________________</w:t>
      </w:r>
      <w:r>
        <w:br/>
      </w:r>
      <w:r>
        <w:t xml:space="preserve">Date: _________________________</w:t>
      </w:r>
    </w:p>
    <w:bookmarkEnd w:id="27"/>
    <w:p>
      <w:pPr>
        <w:pStyle w:val="BodyText"/>
      </w:pPr>
      <w:r>
        <w:rPr>
          <w:bCs/>
          <w:b/>
        </w:rPr>
        <w:t xml:space="preserve">Purchase Order</w:t>
      </w:r>
      <w:r>
        <w:t xml:space="preserve"> </w:t>
      </w:r>
      <w:r>
        <w:t xml:space="preserve">PO-2025-BNE-04872 —</w:t>
      </w:r>
      <w:r>
        <w:t xml:space="preserve"> </w:t>
      </w:r>
      <w:r>
        <w:t xml:space="preserve">Electrical Engineer</w:t>
      </w:r>
      <w:r>
        <w:t xml:space="preserve"> </w:t>
      </w:r>
      <w:r>
        <w:t xml:space="preserve">Services —</w:t>
      </w:r>
      <w:r>
        <w:t xml:space="preserve"> </w:t>
      </w:r>
      <w:r>
        <w:t xml:space="preserve">Australia Brisbane</w:t>
      </w:r>
      <w:r>
        <w:t xml:space="preserve">, Queensland</w:t>
      </w:r>
      <w:r>
        <w:br/>
      </w:r>
      <w:r>
        <w:t xml:space="preserve">This document is issued in accordance with the procurement policies of Meridian Infrastructure Solutions Pty Ltd. All references to</w:t>
      </w:r>
      <w:r>
        <w:t xml:space="preserve"> </w:t>
      </w:r>
      <w:r>
        <w:t xml:space="preserve">Australia Brisbane</w:t>
      </w:r>
      <w:r>
        <w:t xml:space="preserve"> </w:t>
      </w:r>
      <w:r>
        <w:t xml:space="preserve">denote the primary project jurisdiction. This</w:t>
      </w:r>
      <w:r>
        <w:t xml:space="preserve"> </w:t>
      </w:r>
      <w:r>
        <w:t xml:space="preserve">Purchase Order</w:t>
      </w:r>
      <w:r>
        <w:t xml:space="preserve"> </w:t>
      </w:r>
      <w:r>
        <w:t xml:space="preserve">constitutes a binding contract upon execution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 Australia Brisbane</dc:title>
  <dc:creator/>
  <dc:language>en</dc:language>
  <cp:keywords/>
  <dcterms:created xsi:type="dcterms:W3CDTF">2026-10-10T01:15:22Z</dcterms:created>
  <dcterms:modified xsi:type="dcterms:W3CDTF">2026-10-10T01:15:22Z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