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purchase-order"/>
    <w:p>
      <w:pPr>
        <w:pStyle w:val="Heading1"/>
      </w:pPr>
      <w:r>
        <w:t xml:space="preserve">PURCHASE ORDER</w:t>
      </w:r>
    </w:p>
    <w:p>
      <w:pPr>
        <w:pStyle w:val="FirstParagraph"/>
      </w:pPr>
      <w:r>
        <w:rPr>
          <w:bCs/>
          <w:b/>
        </w:rPr>
        <w:t xml:space="preserve">TechnoVolt Engineering GmbH</w:t>
      </w:r>
    </w:p>
    <w:p>
      <w:pPr>
        <w:pStyle w:val="BodyText"/>
      </w:pPr>
      <w:r>
        <w:t xml:space="preserve">Unter den Linden 85, 10117 Berlin, Germany</w:t>
      </w:r>
    </w:p>
    <w:p>
      <w:pPr>
        <w:pStyle w:val="BodyText"/>
      </w:pPr>
      <w:r>
        <w:t xml:space="preserve">Phone: +49 30 5551 2345 | Email: procurement@technovolt-berlin.de</w:t>
      </w:r>
    </w:p>
    <w:p>
      <w:pPr>
        <w:pStyle w:val="BodyText"/>
      </w:pPr>
      <w:r>
        <w:t xml:space="preserve">USt-IdNr.: DE 312 456 789 | HRB 145 678 B, Amtsgericht Berlin-Charlottenburg</w:t>
      </w:r>
    </w:p>
    <w:bookmarkEnd w:id="20"/>
    <w:p>
      <w:pPr>
        <w:pStyle w:val="BodyText"/>
      </w:pPr>
      <w:r>
        <w:rPr>
          <w:bCs/>
          <w:b/>
        </w:rPr>
        <w:t xml:space="preserve">Purchase Order No.:</w:t>
      </w:r>
      <w:r>
        <w:t xml:space="preserve"> </w:t>
      </w:r>
      <w:r>
        <w:t xml:space="preserve">PO-2025-BER-00482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Reference:</w:t>
      </w:r>
      <w:r>
        <w:t xml:space="preserve"> </w:t>
      </w:r>
      <w:r>
        <w:t xml:space="preserve">BER-GRID-2025-Q3</w:t>
      </w:r>
    </w:p>
    <w:p>
      <w:pPr>
        <w:pStyle w:val="BodyText"/>
      </w:pPr>
      <w:r>
        <w:rPr>
          <w:bCs/>
          <w:b/>
        </w:rPr>
        <w:t xml:space="preserve">Department:</w:t>
      </w:r>
      <w:r>
        <w:t xml:space="preserve"> </w:t>
      </w:r>
      <w:r>
        <w:t xml:space="preserve">Infrastructure &amp; Power Systems</w:t>
      </w:r>
    </w:p>
    <w:p>
      <w:pPr>
        <w:pStyle w:val="BodyText"/>
      </w:pPr>
      <w:r>
        <w:rPr>
          <w:bCs/>
          <w:b/>
        </w:rPr>
        <w:t xml:space="preserve">Location of Work:</w:t>
      </w:r>
      <w:r>
        <w:t xml:space="preserve"> </w:t>
      </w:r>
      <w:r>
        <w:t xml:space="preserve">Germany Berlin</w:t>
      </w:r>
    </w:p>
    <w:bookmarkStart w:id="21" w:name="vendor-service-provider-details"/>
    <w:p>
      <w:pPr>
        <w:pStyle w:val="Heading2"/>
      </w:pPr>
      <w:r>
        <w:t xml:space="preserve">1. Vendor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ElectroWerk Consulting &amp; Engineering GmbH</w:t>
            </w:r>
          </w:p>
        </w:tc>
      </w:tr>
      <w:tr>
        <w:tc>
          <w:tcPr/>
          <w:p>
            <w:pPr>
              <w:pStyle w:val="Compact"/>
              <w:jc w:val="left"/>
            </w:pPr>
            <w:r>
              <w:t xml:space="preserve">Address</w:t>
            </w:r>
          </w:p>
        </w:tc>
        <w:tc>
          <w:tcPr/>
          <w:p>
            <w:pPr>
              <w:pStyle w:val="Compact"/>
              <w:jc w:val="left"/>
            </w:pPr>
            <w:r>
              <w:t xml:space="preserve">Friedrichstraße 142, 10117 Berlin, Germany</w:t>
            </w:r>
          </w:p>
        </w:tc>
      </w:tr>
      <w:tr>
        <w:tc>
          <w:tcPr/>
          <w:p>
            <w:pPr>
              <w:pStyle w:val="Compact"/>
              <w:jc w:val="left"/>
            </w:pPr>
            <w:r>
              <w:t xml:space="preserve">Contact Person</w:t>
            </w:r>
          </w:p>
        </w:tc>
        <w:tc>
          <w:tcPr/>
          <w:p>
            <w:pPr>
              <w:pStyle w:val="Compact"/>
              <w:jc w:val="left"/>
            </w:pPr>
            <w:r>
              <w:t xml:space="preserve">Dr. Markus Steinbach, Managing Director</w:t>
            </w:r>
          </w:p>
        </w:tc>
      </w:tr>
      <w:tr>
        <w:tc>
          <w:tcPr/>
          <w:p>
            <w:pPr>
              <w:pStyle w:val="Compact"/>
              <w:jc w:val="left"/>
            </w:pPr>
            <w:r>
              <w:t xml:space="preserve">Phone</w:t>
            </w:r>
          </w:p>
        </w:tc>
        <w:tc>
          <w:tcPr/>
          <w:p>
            <w:pPr>
              <w:pStyle w:val="Compact"/>
              <w:jc w:val="left"/>
            </w:pPr>
            <w:r>
              <w:t xml:space="preserve">+49 30 7788 9900</w:t>
            </w:r>
          </w:p>
        </w:tc>
      </w:tr>
      <w:tr>
        <w:tc>
          <w:tcPr/>
          <w:p>
            <w:pPr>
              <w:pStyle w:val="Compact"/>
              <w:jc w:val="left"/>
            </w:pPr>
            <w:r>
              <w:t xml:space="preserve">Email</w:t>
            </w:r>
          </w:p>
        </w:tc>
        <w:tc>
          <w:tcPr/>
          <w:p>
            <w:pPr>
              <w:pStyle w:val="Compact"/>
              <w:jc w:val="left"/>
            </w:pPr>
            <w:r>
              <w:t xml:space="preserve">contracts@electrowerk-berlin.de</w:t>
            </w:r>
          </w:p>
        </w:tc>
      </w:tr>
      <w:tr>
        <w:tc>
          <w:tcPr/>
          <w:p>
            <w:pPr>
              <w:pStyle w:val="Compact"/>
              <w:jc w:val="left"/>
            </w:pPr>
            <w:r>
              <w:t xml:space="preserve">VAT ID (USt-IdNr.)</w:t>
            </w:r>
          </w:p>
        </w:tc>
        <w:tc>
          <w:tcPr/>
          <w:p>
            <w:pPr>
              <w:pStyle w:val="Compact"/>
              <w:jc w:val="left"/>
            </w:pPr>
            <w:r>
              <w:t xml:space="preserve">DE 298 765 431</w:t>
            </w:r>
          </w:p>
        </w:tc>
      </w:tr>
      <w:tr>
        <w:tc>
          <w:tcPr/>
          <w:p>
            <w:pPr>
              <w:pStyle w:val="Compact"/>
              <w:jc w:val="left"/>
            </w:pPr>
            <w:r>
              <w:t xml:space="preserve">Bank / IBAN</w:t>
            </w:r>
          </w:p>
        </w:tc>
        <w:tc>
          <w:tcPr/>
          <w:p>
            <w:pPr>
              <w:pStyle w:val="Compact"/>
              <w:jc w:val="left"/>
            </w:pPr>
            <w:r>
              <w:t xml:space="preserve">Deutsche Bank AG, Berlin Branch – DE89 1007 0000 0500 0010 00</w:t>
            </w:r>
          </w:p>
        </w:tc>
      </w:tr>
    </w:tbl>
    <w:bookmarkEnd w:id="21"/>
    <w:bookmarkStart w:id="22" w:name="description-of-procurement"/>
    <w:p>
      <w:pPr>
        <w:pStyle w:val="Heading2"/>
      </w:pPr>
      <w:r>
        <w:t xml:space="preserve">2. Description of Procurement</w:t>
      </w:r>
    </w:p>
    <w:p>
      <w:pPr>
        <w:pStyle w:val="FirstParagraph"/>
      </w:pPr>
      <w:r>
        <w:t xml:space="preserve">This Purchase Order is issued by TechnoVolt Engineering GmbH (hereinafter referred to as the "Purchaser") to ElectroWerk Consulting &amp; Engineering GmbH (hereinafter referred to as the "Vendor") for the provision of qualified</w:t>
      </w:r>
      <w:r>
        <w:t xml:space="preserve"> </w:t>
      </w:r>
      <w:r>
        <w:rPr>
          <w:bCs/>
          <w:b/>
        </w:rPr>
        <w:t xml:space="preserve">Electrical Engineer</w:t>
      </w:r>
      <w:r>
        <w:t xml:space="preserve"> </w:t>
      </w:r>
      <w:r>
        <w:t xml:space="preserve">services in connection with the design, review, and commissioning of a medium-voltage distribution network upgrade located in</w:t>
      </w:r>
      <w:r>
        <w:t xml:space="preserve"> </w:t>
      </w:r>
      <w:r>
        <w:rPr>
          <w:bCs/>
          <w:b/>
        </w:rPr>
        <w:t xml:space="preserve">Germany Berlin</w:t>
      </w:r>
      <w:r>
        <w:t xml:space="preserve">. The scope of work encompasses all technical planning, load calculations, protection coordination studies, cable sizing, switchgear specification, and on-site supervision required to bring the project into compliance with the German Electrical Installation Ordinance (VDE 0100 series) and the applicable regulations of the Bundesnetzagentur.</w:t>
      </w:r>
    </w:p>
    <w:p>
      <w:pPr>
        <w:pStyle w:val="BodyText"/>
      </w:pPr>
      <w:r>
        <w:t xml:space="preserve">The Vendor shall assign a senior</w:t>
      </w:r>
      <w:r>
        <w:t xml:space="preserve"> </w:t>
      </w:r>
      <w:r>
        <w:rPr>
          <w:bCs/>
          <w:b/>
        </w:rPr>
        <w:t xml:space="preserve">Electrical Engineer</w:t>
      </w:r>
      <w:r>
        <w:t xml:space="preserve"> </w:t>
      </w:r>
      <w:r>
        <w:t xml:space="preserve">holding a valid registration with the Ingenieurkammer Berlin and possessing a minimum of twelve (12) years of professional experience in power distribution systems. The assigned</w:t>
      </w:r>
      <w:r>
        <w:t xml:space="preserve"> </w:t>
      </w:r>
      <w:r>
        <w:rPr>
          <w:bCs/>
          <w:b/>
        </w:rPr>
        <w:t xml:space="preserve">Electrical Engineer</w:t>
      </w:r>
      <w:r>
        <w:t xml:space="preserve"> </w:t>
      </w:r>
      <w:r>
        <w:t xml:space="preserve">shall be physically present at the project site in</w:t>
      </w:r>
      <w:r>
        <w:t xml:space="preserve"> </w:t>
      </w:r>
      <w:r>
        <w:rPr>
          <w:bCs/>
          <w:b/>
        </w:rPr>
        <w:t xml:space="preserve">Germany Berlin</w:t>
      </w:r>
      <w:r>
        <w:t xml:space="preserve"> </w:t>
      </w:r>
      <w:r>
        <w:t xml:space="preserve">(specifically the Kreuzberg and Neukölln districts) for the duration of the on-site phase and shall report directly to the Purchaser's Project Director.</w:t>
      </w:r>
    </w:p>
    <w:bookmarkEnd w:id="22"/>
    <w:bookmarkStart w:id="23"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Service / Deliverable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Electrical Engineer – Conceptual Design &amp; Load Study (Medium-Voltage Network, 20 kV, Kreuzberg District, Germany Berlin)</w:t>
            </w:r>
          </w:p>
        </w:tc>
        <w:tc>
          <w:tcPr/>
          <w:p>
            <w:pPr>
              <w:pStyle w:val="Compact"/>
              <w:jc w:val="left"/>
            </w:pPr>
            <w:r>
              <w:t xml:space="preserve">Man-month</w:t>
            </w:r>
          </w:p>
        </w:tc>
        <w:tc>
          <w:tcPr/>
          <w:p>
            <w:pPr>
              <w:pStyle w:val="Compact"/>
              <w:jc w:val="left"/>
            </w:pPr>
            <w:r>
              <w:t xml:space="preserve">2</w:t>
            </w:r>
          </w:p>
        </w:tc>
        <w:tc>
          <w:tcPr/>
          <w:p>
            <w:pPr>
              <w:pStyle w:val="Compact"/>
              <w:jc w:val="left"/>
            </w:pPr>
            <w:r>
              <w:t xml:space="preserve">12,500.00</w:t>
            </w:r>
          </w:p>
        </w:tc>
        <w:tc>
          <w:tcPr/>
          <w:p>
            <w:pPr>
              <w:pStyle w:val="Compact"/>
              <w:jc w:val="left"/>
            </w:pPr>
            <w:r>
              <w:t xml:space="preserve">25,000.00</w:t>
            </w:r>
          </w:p>
        </w:tc>
      </w:tr>
      <w:tr>
        <w:tc>
          <w:tcPr/>
          <w:p>
            <w:pPr>
              <w:pStyle w:val="Compact"/>
              <w:jc w:val="left"/>
            </w:pPr>
            <w:r>
              <w:t xml:space="preserve">02</w:t>
            </w:r>
          </w:p>
        </w:tc>
        <w:tc>
          <w:tcPr/>
          <w:p>
            <w:pPr>
              <w:pStyle w:val="Compact"/>
              <w:jc w:val="left"/>
            </w:pPr>
            <w:r>
              <w:t xml:space="preserve">Electrical Engineer – Protection Coordination &amp; Switchgear Specification (VDE 0434 / IEC 61850 compliant)</w:t>
            </w:r>
          </w:p>
        </w:tc>
        <w:tc>
          <w:tcPr/>
          <w:p>
            <w:pPr>
              <w:pStyle w:val="Compact"/>
              <w:jc w:val="left"/>
            </w:pPr>
            <w:r>
              <w:t xml:space="preserve">Man-month</w:t>
            </w:r>
          </w:p>
        </w:tc>
        <w:tc>
          <w:tcPr/>
          <w:p>
            <w:pPr>
              <w:pStyle w:val="Compact"/>
              <w:jc w:val="left"/>
            </w:pPr>
            <w:r>
              <w:t xml:space="preserve">1.5</w:t>
            </w:r>
          </w:p>
        </w:tc>
        <w:tc>
          <w:tcPr/>
          <w:p>
            <w:pPr>
              <w:pStyle w:val="Compact"/>
              <w:jc w:val="left"/>
            </w:pPr>
            <w:r>
              <w:t xml:space="preserve">12,500.00</w:t>
            </w:r>
          </w:p>
        </w:tc>
        <w:tc>
          <w:tcPr/>
          <w:p>
            <w:pPr>
              <w:pStyle w:val="Compact"/>
              <w:jc w:val="left"/>
            </w:pPr>
            <w:r>
              <w:t xml:space="preserve">18,750.00</w:t>
            </w:r>
          </w:p>
        </w:tc>
      </w:tr>
      <w:tr>
        <w:tc>
          <w:tcPr/>
          <w:p>
            <w:pPr>
              <w:pStyle w:val="Compact"/>
              <w:jc w:val="left"/>
            </w:pPr>
            <w:r>
              <w:t xml:space="preserve">03</w:t>
            </w:r>
          </w:p>
        </w:tc>
        <w:tc>
          <w:tcPr/>
          <w:p>
            <w:pPr>
              <w:pStyle w:val="Compact"/>
              <w:jc w:val="left"/>
            </w:pPr>
            <w:r>
              <w:t xml:space="preserve">Electrical Engineer – On-Site Supervision &amp; Commissioning Support (Neukölln Substation, Germany Berlin)</w:t>
            </w:r>
          </w:p>
        </w:tc>
        <w:tc>
          <w:tcPr/>
          <w:p>
            <w:pPr>
              <w:pStyle w:val="Compact"/>
              <w:jc w:val="left"/>
            </w:pPr>
            <w:r>
              <w:t xml:space="preserve">Day</w:t>
            </w:r>
          </w:p>
        </w:tc>
        <w:tc>
          <w:tcPr/>
          <w:p>
            <w:pPr>
              <w:pStyle w:val="Compact"/>
              <w:jc w:val="left"/>
            </w:pPr>
            <w:r>
              <w:t xml:space="preserve">25</w:t>
            </w:r>
          </w:p>
        </w:tc>
        <w:tc>
          <w:tcPr/>
          <w:p>
            <w:pPr>
              <w:pStyle w:val="Compact"/>
              <w:jc w:val="left"/>
            </w:pPr>
            <w:r>
              <w:t xml:space="preserve">950.00</w:t>
            </w:r>
          </w:p>
        </w:tc>
        <w:tc>
          <w:tcPr/>
          <w:p>
            <w:pPr>
              <w:pStyle w:val="Compact"/>
              <w:jc w:val="left"/>
            </w:pPr>
            <w:r>
              <w:t xml:space="preserve">23,750.00</w:t>
            </w:r>
          </w:p>
        </w:tc>
      </w:tr>
      <w:tr>
        <w:tc>
          <w:tcPr/>
          <w:p>
            <w:pPr>
              <w:pStyle w:val="Compact"/>
              <w:jc w:val="left"/>
            </w:pPr>
            <w:r>
              <w:t xml:space="preserve">04</w:t>
            </w:r>
          </w:p>
        </w:tc>
        <w:tc>
          <w:tcPr/>
          <w:p>
            <w:pPr>
              <w:pStyle w:val="Compact"/>
              <w:jc w:val="left"/>
            </w:pPr>
            <w:r>
              <w:t xml:space="preserve">As-Built Documentation, Single-Line Diagrams &amp; Final Technical Report (German &amp; English)</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8,200.00</w:t>
            </w:r>
          </w:p>
        </w:tc>
        <w:tc>
          <w:tcPr/>
          <w:p>
            <w:pPr>
              <w:pStyle w:val="Compact"/>
              <w:jc w:val="left"/>
            </w:pPr>
            <w:r>
              <w:t xml:space="preserve">8,200.00</w:t>
            </w:r>
          </w:p>
        </w:tc>
      </w:tr>
      <w:tr>
        <w:tc>
          <w:tcPr/>
          <w:p>
            <w:pPr>
              <w:pStyle w:val="Compact"/>
              <w:jc w:val="left"/>
            </w:pPr>
            <w:r>
              <w:t xml:space="preserve">05</w:t>
            </w:r>
          </w:p>
        </w:tc>
        <w:tc>
          <w:tcPr/>
          <w:p>
            <w:pPr>
              <w:pStyle w:val="Compact"/>
              <w:jc w:val="left"/>
            </w:pPr>
            <w:r>
              <w:t xml:space="preserve">Regulatory Filing Support with Bundesnetzagentur &amp; Local Netzbetreiber (Berlin)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5"/>
          </w:tcPr>
          <w:p>
            <w:pPr>
              <w:pStyle w:val="Compact"/>
              <w:jc w:val="left"/>
            </w:pPr>
            <w:r>
              <w:t xml:space="preserve">Subtotal</w:t>
            </w:r>
          </w:p>
        </w:tc>
        <w:tc>
          <w:tcPr/>
          <w:p>
            <w:pPr>
              <w:pStyle w:val="Compact"/>
              <w:jc w:val="left"/>
            </w:pPr>
            <w:r>
              <w:t xml:space="preserve">80,200.00</w:t>
            </w:r>
          </w:p>
        </w:tc>
      </w:tr>
      <w:tr>
        <w:tc>
          <w:tcPr>
            <w:gridSpan w:val="5"/>
          </w:tcPr>
          <w:p>
            <w:pPr>
              <w:pStyle w:val="Compact"/>
              <w:jc w:val="left"/>
            </w:pPr>
            <w:r>
              <w:t xml:space="preserve">VAT (19 % – Umsatzsteuer)</w:t>
            </w:r>
          </w:p>
        </w:tc>
        <w:tc>
          <w:tcPr/>
          <w:p>
            <w:pPr>
              <w:pStyle w:val="Compact"/>
              <w:jc w:val="left"/>
            </w:pPr>
            <w:r>
              <w:t xml:space="preserve">15,238.00</w:t>
            </w:r>
          </w:p>
        </w:tc>
      </w:tr>
      <w:tr>
        <w:tc>
          <w:tcPr>
            <w:gridSpan w:val="5"/>
          </w:tcPr>
          <w:p>
            <w:pPr>
              <w:pStyle w:val="Compact"/>
              <w:jc w:val="left"/>
            </w:pPr>
            <w:r>
              <w:rPr>
                <w:bCs/>
                <w:b/>
              </w:rPr>
              <w:t xml:space="preserve">Total Amount Due (EUR)</w:t>
            </w:r>
          </w:p>
        </w:tc>
        <w:tc>
          <w:tcPr/>
          <w:p>
            <w:pPr>
              <w:pStyle w:val="Compact"/>
              <w:jc w:val="left"/>
            </w:pPr>
            <w:r>
              <w:rPr>
                <w:bCs/>
                <w:b/>
              </w:rPr>
              <w:t xml:space="preserve">95,438.00</w:t>
            </w:r>
          </w:p>
        </w:tc>
      </w:tr>
    </w:tbl>
    <w:bookmarkEnd w:id="23"/>
    <w:bookmarkStart w:id="24" w:name="payment-terms"/>
    <w:p>
      <w:pPr>
        <w:pStyle w:val="Heading2"/>
      </w:pPr>
      <w:r>
        <w:t xml:space="preserve">4. Payment Terms</w:t>
      </w:r>
    </w:p>
    <w:p>
      <w:pPr>
        <w:pStyle w:val="FirstParagraph"/>
      </w:pPr>
      <w:r>
        <w:t xml:space="preserve">Payment shall be made by bank transfer to the IBAN specified in Section 2 within thirty (30) calendar days of receipt of a valid invoice from the Vendor. Invoices must reference this Purchase Order number (PO-2025-BER-00482) and the applicable line-item numbers. The Purchaser reserves the right to withhold payment for any deliverable that does not meet the technical specifications outlined in Annex A of the master service agreement. All amounts are denominated in Euro (EUR) and are subject to the standard 19 % German value-added tax (Umsatzsteuer) as governed by the Umsatzsteuergesetz (UStG).</w:t>
      </w:r>
    </w:p>
    <w:bookmarkEnd w:id="24"/>
    <w:bookmarkStart w:id="25" w:name="delivery-and-commencement"/>
    <w:p>
      <w:pPr>
        <w:pStyle w:val="Heading2"/>
      </w:pPr>
      <w:r>
        <w:t xml:space="preserve">5. Delivery and Commencement</w:t>
      </w:r>
    </w:p>
    <w:p>
      <w:pPr>
        <w:pStyle w:val="FirstParagraph"/>
      </w:pPr>
      <w:r>
        <w:t xml:space="preserve">The Vendor shall commence the conceptual design phase no later than 1 July 2025. All on-site activities in</w:t>
      </w:r>
      <w:r>
        <w:t xml:space="preserve"> </w:t>
      </w:r>
      <w:r>
        <w:rPr>
          <w:bCs/>
          <w:b/>
        </w:rPr>
        <w:t xml:space="preserve">Germany Berlin</w:t>
      </w:r>
      <w:r>
        <w:t xml:space="preserve"> </w:t>
      </w:r>
      <w:r>
        <w:t xml:space="preserve">shall be scheduled in coordination with the local grid operator (Stadtwerke Berlin Netz GmbH) and shall comply with all applicable occupational safety regulations (DGUV Vorschrift 3) and site-specific safety plans. The final as-built documentation and technical report shall be delivered to the Purchaser's office at Unter den Linden 85, 10117 Berlin, no later than 30 November 2025.</w:t>
      </w:r>
    </w:p>
    <w:bookmarkEnd w:id="25"/>
    <w:bookmarkStart w:id="26" w:name="terms-and-conditions"/>
    <w:p>
      <w:pPr>
        <w:pStyle w:val="Heading2"/>
      </w:pPr>
      <w:r>
        <w:t xml:space="preserve">6. Terms and Conditions</w:t>
      </w:r>
    </w:p>
    <w:p>
      <w:pPr>
        <w:pStyle w:val="FirstParagraph"/>
      </w:pPr>
      <w:r>
        <w:t xml:space="preserve">This Purchase Order is governed by the laws of the Federal Republic of Germany. Any disputes arising from or in connection with this Purchase Order shall be subject to the exclusive jurisdiction of the competent courts in Berlin, Germany. The Vendor warrants that the assigned</w:t>
      </w:r>
      <w:r>
        <w:t xml:space="preserve"> </w:t>
      </w:r>
      <w:r>
        <w:rPr>
          <w:bCs/>
          <w:b/>
        </w:rPr>
        <w:t xml:space="preserve">Electrical Engineer</w:t>
      </w:r>
      <w:r>
        <w:t xml:space="preserve"> </w:t>
      </w:r>
      <w:r>
        <w:t xml:space="preserve">holds all necessary professional qualifications, professional liability insurance (Berufshaftpflichtversicherung) with a minimum coverage of 2,000,000 EUR, and is in good standing with the Ingenieurkammer Berlin. The Vendor shall comply with all data protection requirements under the EU General Data Protection Regulation (GDPR) and the German Federal Data Protection Act (Bundesdatenschutzgesetz – BDSG) when handling any personal data encountered during the project in</w:t>
      </w:r>
      <w:r>
        <w:t xml:space="preserve"> </w:t>
      </w:r>
      <w:r>
        <w:rPr>
          <w:bCs/>
          <w:b/>
        </w:rPr>
        <w:t xml:space="preserve">Germany Berlin</w:t>
      </w:r>
      <w:r>
        <w:t xml:space="preserve">.</w:t>
      </w:r>
    </w:p>
    <w:p>
      <w:pPr>
        <w:pStyle w:val="BodyText"/>
      </w:pPr>
      <w:r>
        <w:t xml:space="preserve">By accepting this Purchase Order, the Vendor acknowledges that all intellectual property created specifically for the Purchaser in the course of this engagement shall vest in TechnoVolt Engineering GmbH upon full payment. The Vendor shall not subcontract any portion of the</w:t>
      </w:r>
      <w:r>
        <w:t xml:space="preserve"> </w:t>
      </w:r>
      <w:r>
        <w:rPr>
          <w:bCs/>
          <w:b/>
        </w:rPr>
        <w:t xml:space="preserve">Electrical Engineer</w:t>
      </w:r>
      <w:r>
        <w:t xml:space="preserve"> </w:t>
      </w:r>
      <w:r>
        <w:t xml:space="preserve">services without prior written consent from the Purchaser.</w:t>
      </w:r>
    </w:p>
    <w:bookmarkEnd w:id="26"/>
    <w:bookmarkStart w:id="27" w:name="acceptance-and-signatures"/>
    <w:p>
      <w:pPr>
        <w:pStyle w:val="Heading2"/>
      </w:pPr>
      <w:r>
        <w:t xml:space="preserve">7. Acceptance and Signatures</w:t>
      </w:r>
    </w:p>
    <w:p>
      <w:pPr>
        <w:pStyle w:val="FirstParagraph"/>
      </w:pPr>
      <w:r>
        <w:rPr>
          <w:bCs/>
          <w:b/>
        </w:rPr>
        <w:t xml:space="preserve">For and on behalf of the Purchaser:</w:t>
      </w:r>
    </w:p>
    <w:p>
      <w:pPr>
        <w:pStyle w:val="BodyText"/>
      </w:pPr>
      <w:r>
        <w:t xml:space="preserve">TechnoVolt Engineering GmbH</w:t>
      </w:r>
    </w:p>
    <w:p>
      <w:pPr>
        <w:pStyle w:val="BodyText"/>
      </w:pPr>
      <w:r>
        <w:rPr>
          <w:bCs/>
          <w:b/>
        </w:rPr>
        <w:t xml:space="preserve">Name:</w:t>
      </w:r>
      <w:r>
        <w:t xml:space="preserve"> </w:t>
      </w:r>
      <w:r>
        <w:t xml:space="preserve">Dr. Anja Hoffmann, Chief Procurement Officer</w:t>
      </w:r>
      <w:r>
        <w:br/>
      </w:r>
      <w:r>
        <w:rPr>
          <w:bCs/>
          <w:b/>
        </w:rPr>
        <w:t xml:space="preserve">Signature:</w:t>
      </w:r>
      <w:r>
        <w:t xml:space="preserve"> </w:t>
      </w:r>
      <w:r>
        <w:t xml:space="preserve">______________________________</w:t>
      </w:r>
      <w:r>
        <w:br/>
      </w:r>
      <w:r>
        <w:rPr>
          <w:bCs/>
          <w:b/>
        </w:rPr>
        <w:t xml:space="preserve">Date:</w:t>
      </w:r>
      <w:r>
        <w:t xml:space="preserve"> </w:t>
      </w:r>
      <w:r>
        <w:t xml:space="preserve">______________________________</w:t>
      </w:r>
    </w:p>
    <w:p>
      <w:pPr>
        <w:pStyle w:val="BodyText"/>
      </w:pPr>
      <w:r>
        <w:rPr>
          <w:bCs/>
          <w:b/>
        </w:rPr>
        <w:t xml:space="preserve">For and on behalf of the Vendor:</w:t>
      </w:r>
    </w:p>
    <w:p>
      <w:pPr>
        <w:pStyle w:val="BodyText"/>
      </w:pPr>
      <w:r>
        <w:t xml:space="preserve">ElectroWerk Consulting &amp; Engineering GmbH</w:t>
      </w:r>
    </w:p>
    <w:p>
      <w:pPr>
        <w:pStyle w:val="BodyText"/>
      </w:pPr>
      <w:r>
        <w:rPr>
          <w:bCs/>
          <w:b/>
        </w:rPr>
        <w:t xml:space="preserve">Name:</w:t>
      </w:r>
      <w:r>
        <w:t xml:space="preserve"> </w:t>
      </w:r>
      <w:r>
        <w:t xml:space="preserve">Dr. Markus Steinbach, Managing Director</w:t>
      </w:r>
      <w:r>
        <w:br/>
      </w:r>
      <w:r>
        <w:rPr>
          <w:bCs/>
          <w:b/>
        </w:rPr>
        <w:t xml:space="preserve">Signature:</w:t>
      </w:r>
      <w:r>
        <w:t xml:space="preserve"> </w:t>
      </w:r>
      <w:r>
        <w:t xml:space="preserve">______________________________</w:t>
      </w:r>
      <w:r>
        <w:br/>
      </w:r>
      <w:r>
        <w:rPr>
          <w:bCs/>
          <w:b/>
        </w:rPr>
        <w:t xml:space="preserve">Date:</w:t>
      </w:r>
      <w:r>
        <w:t xml:space="preserve"> </w:t>
      </w:r>
      <w:r>
        <w:t xml:space="preserve">______________________________</w:t>
      </w:r>
    </w:p>
    <w:p>
      <w:pPr>
        <w:pStyle w:val="BodyText"/>
      </w:pPr>
      <w:r>
        <w:t xml:space="preserve">This Purchase Order (PO-2025-BER-00482) constitutes a binding procurement document for the engagement of an Electrical Engineer for infrastructure services in Germany Berlin. It is issued in accordance with the internal procurement policies of TechnoVolt Engineering GmbH and applicable German commercial law (Handelsgesetzbuch – HGB). All communications regarding this Purchase Order shall be directed to the procurement department at procurement@technovolt-berlin.de. This document is valid only when signed and stamped by both parties.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Electrical Engineer Services - Germany Berlin</dc:title>
  <dc:creator/>
  <dc:language>en</dc:language>
  <cp:keywords/>
  <dcterms:created xsi:type="dcterms:W3CDTF">2026-10-10T02:09:29Z</dcterms:created>
  <dcterms:modified xsi:type="dcterms:W3CDTF">2026-10-10T02:09:29Z</dcterms:modified>
</cp:coreProperties>
</file>

<file path=docProps/custom.xml><?xml version="1.0" encoding="utf-8"?>
<Properties xmlns="http://schemas.openxmlformats.org/officeDocument/2006/custom-properties" xmlns:vt="http://schemas.openxmlformats.org/officeDocument/2006/docPropsVTypes"/>
</file>