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purchase-order"/>
    <w:p>
      <w:pPr>
        <w:pStyle w:val="Heading1"/>
      </w:pPr>
      <w:r>
        <w:t xml:space="preserve">PURCHASE ORDER</w:t>
      </w:r>
    </w:p>
    <w:p>
      <w:pPr>
        <w:pStyle w:val="FirstParagraph"/>
      </w:pPr>
      <w:r>
        <w:rPr>
          <w:bCs/>
          <w:b/>
        </w:rPr>
        <w:t xml:space="preserve">Almaty Infrastructure Development Company LLP</w:t>
      </w:r>
    </w:p>
    <w:p>
      <w:pPr>
        <w:pStyle w:val="BodyText"/>
      </w:pPr>
      <w:r>
        <w:t xml:space="preserve">152 Abai Avenue, Almaty, 050040, Republic of Kazakhstan</w:t>
      </w:r>
    </w:p>
    <w:p>
      <w:pPr>
        <w:pStyle w:val="BodyText"/>
      </w:pPr>
      <w:r>
        <w:t xml:space="preserve">Tax Identification Number (BIN): 990740012345 | Phone: +7 (727) 312-4567 | Email: procurement@aidc-kz.com</w:t>
      </w:r>
    </w:p>
    <w:bookmarkEnd w:id="20"/>
    <w:p>
      <w:pPr>
        <w:pStyle w:val="BodyText"/>
      </w:pPr>
      <w:r>
        <w:rPr>
          <w:bCs/>
          <w:b/>
        </w:rPr>
        <w:t xml:space="preserve">Purchase Order No.:</w:t>
      </w:r>
      <w:r>
        <w:t xml:space="preserve"> </w:t>
      </w:r>
      <w:r>
        <w:t xml:space="preserve">PO-AIDC-2025-0487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Project Reference:</w:t>
      </w:r>
      <w:r>
        <w:t xml:space="preserve"> </w:t>
      </w:r>
      <w:r>
        <w:t xml:space="preserve">ALM-GRID-2025-Q3</w:t>
      </w:r>
    </w:p>
    <w:p>
      <w:pPr>
        <w:pStyle w:val="BodyText"/>
      </w:pPr>
      <w:r>
        <w:rPr>
          <w:bCs/>
          <w:b/>
        </w:rPr>
        <w:t xml:space="preserve">Department:</w:t>
      </w:r>
      <w:r>
        <w:t xml:space="preserve"> </w:t>
      </w:r>
      <w:r>
        <w:t xml:space="preserve">Engineering &amp; Technical Services</w:t>
      </w:r>
    </w:p>
    <w:p>
      <w:pPr>
        <w:pStyle w:val="BodyText"/>
      </w:pPr>
      <w:r>
        <w:rPr>
          <w:bCs/>
          <w:b/>
        </w:rPr>
        <w:t xml:space="preserve">Priority:</w:t>
      </w:r>
      <w:r>
        <w:t xml:space="preserve"> </w:t>
      </w:r>
      <w:r>
        <w:t xml:space="preserve">High</w:t>
      </w:r>
    </w:p>
    <w:p>
      <w:pPr>
        <w:pStyle w:val="BodyText"/>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Steppe Electrical Engineering Solutions LLP</w:t>
            </w:r>
          </w:p>
        </w:tc>
      </w:tr>
      <w:tr>
        <w:tc>
          <w:tcPr/>
          <w:p>
            <w:pPr>
              <w:pStyle w:val="Compact"/>
              <w:jc w:val="left"/>
            </w:pPr>
            <w:r>
              <w:rPr>
                <w:bCs/>
                <w:b/>
              </w:rPr>
              <w:t xml:space="preserve">Address:</w:t>
            </w:r>
          </w:p>
        </w:tc>
        <w:tc>
          <w:tcPr/>
          <w:p>
            <w:pPr>
              <w:pStyle w:val="Compact"/>
              <w:jc w:val="left"/>
            </w:pPr>
            <w:r>
              <w:t xml:space="preserve">48 Dostyk Avenue, Office 312, Almaty, 050000, Republic of Kazakhstan</w:t>
            </w:r>
          </w:p>
        </w:tc>
      </w:tr>
      <w:tr>
        <w:tc>
          <w:tcPr/>
          <w:p>
            <w:pPr>
              <w:pStyle w:val="Compact"/>
              <w:jc w:val="left"/>
            </w:pPr>
            <w:r>
              <w:rPr>
                <w:bCs/>
                <w:b/>
              </w:rPr>
              <w:t xml:space="preserve">BIN / Tax ID:</w:t>
            </w:r>
          </w:p>
        </w:tc>
        <w:tc>
          <w:tcPr/>
          <w:p>
            <w:pPr>
              <w:pStyle w:val="Compact"/>
              <w:jc w:val="left"/>
            </w:pPr>
            <w:r>
              <w:t xml:space="preserve">020940056789</w:t>
            </w:r>
          </w:p>
        </w:tc>
      </w:tr>
      <w:tr>
        <w:tc>
          <w:tcPr/>
          <w:p>
            <w:pPr>
              <w:pStyle w:val="Compact"/>
              <w:jc w:val="left"/>
            </w:pPr>
            <w:r>
              <w:rPr>
                <w:bCs/>
                <w:b/>
              </w:rPr>
              <w:t xml:space="preserve">Contact Person:</w:t>
            </w:r>
          </w:p>
        </w:tc>
        <w:tc>
          <w:tcPr/>
          <w:p>
            <w:pPr>
              <w:pStyle w:val="Compact"/>
              <w:jc w:val="left"/>
            </w:pPr>
            <w:r>
              <w:t xml:space="preserve">Mr. Timur Nurlanov, Senior Project Manager</w:t>
            </w:r>
          </w:p>
        </w:tc>
      </w:tr>
      <w:tr>
        <w:tc>
          <w:tcPr/>
          <w:p>
            <w:pPr>
              <w:pStyle w:val="Compact"/>
              <w:jc w:val="left"/>
            </w:pPr>
            <w:r>
              <w:rPr>
                <w:bCs/>
                <w:b/>
              </w:rPr>
              <w:t xml:space="preserve">Phone / Email:</w:t>
            </w:r>
          </w:p>
        </w:tc>
        <w:tc>
          <w:tcPr/>
          <w:p>
            <w:pPr>
              <w:pStyle w:val="Compact"/>
              <w:jc w:val="left"/>
            </w:pPr>
            <w:r>
              <w:t xml:space="preserve">+7 (727) 245-8901 / t.nurlanov@steppe-ee.kz</w:t>
            </w:r>
          </w:p>
        </w:tc>
      </w:tr>
      <w:tr>
        <w:tc>
          <w:tcPr/>
          <w:p>
            <w:pPr>
              <w:pStyle w:val="Compact"/>
              <w:jc w:val="left"/>
            </w:pPr>
            <w:r>
              <w:rPr>
                <w:bCs/>
                <w:b/>
              </w:rPr>
              <w:t xml:space="preserve">Bank Details:</w:t>
            </w:r>
          </w:p>
        </w:tc>
        <w:tc>
          <w:tcPr/>
          <w:p>
            <w:pPr>
              <w:pStyle w:val="Compact"/>
              <w:jc w:val="left"/>
            </w:pPr>
            <w:r>
              <w:t xml:space="preserve">Bank: Halyk Bank JSC | IBAN: KZ88 9910 1000 0000 1234 5678</w:t>
            </w:r>
          </w:p>
        </w:tc>
      </w:tr>
    </w:tbl>
    <w:p>
      <w:pPr>
        <w:pStyle w:val="BodyText"/>
      </w:pPr>
      <w:r>
        <w:t xml:space="preserve">DESCRIPTION OF SERVICES – ELECTRICAL ENGINEER ENGAGEMENT</w:t>
      </w:r>
    </w:p>
    <w:p>
      <w:pPr>
        <w:pStyle w:val="BodyText"/>
      </w:pPr>
      <w:r>
        <w:t xml:space="preserve">This</w:t>
      </w:r>
      <w:r>
        <w:t xml:space="preserve"> </w:t>
      </w:r>
      <w:r>
        <w:t xml:space="preserve">Purchase Order</w:t>
      </w:r>
      <w:r>
        <w:t xml:space="preserve"> </w:t>
      </w:r>
      <w:r>
        <w:t xml:space="preserve">is issued by Almaty Infrastructure Development Company LLP to formally engage the services of a qualified</w:t>
      </w:r>
      <w:r>
        <w:t xml:space="preserve"> </w:t>
      </w:r>
      <w:r>
        <w:t xml:space="preserve">Electrical Engineer</w:t>
      </w:r>
      <w:r>
        <w:t xml:space="preserve"> </w:t>
      </w:r>
      <w:r>
        <w:t xml:space="preserve">and associated technical team for the design, review, and commissioning of the Almaty Northern District Power Distribution Upgrade Project. The</w:t>
      </w:r>
      <w:r>
        <w:t xml:space="preserve"> </w:t>
      </w:r>
      <w:r>
        <w:t xml:space="preserve">Electrical Engineer</w:t>
      </w:r>
      <w:r>
        <w:t xml:space="preserve"> </w:t>
      </w:r>
      <w:r>
        <w:t xml:space="preserve">shall be responsible for all high-voltage and medium-voltage system design work, load calculations, protective relay coordination studies, and compliance verification in accordance with the national electrical codes of the Republic of Kazakhstan (SNiP and GOST standards) as well as IEC 60890 and IEC 61850 international standards. The scope of work is to be executed within the city limits of</w:t>
      </w:r>
      <w:r>
        <w:t xml:space="preserve"> </w:t>
      </w:r>
      <w:r>
        <w:t xml:space="preserve">Kazakhstan Almaty</w:t>
      </w:r>
      <w:r>
        <w:t xml:space="preserve">, specifically covering the Almaly, Medeu, and Bostandyk administrative districts where the new 110 kV substation and associated 10 kV feeder networks will be installed.</w:t>
      </w:r>
    </w:p>
    <w:p>
      <w:pPr>
        <w:pStyle w:val="BodyText"/>
      </w:pPr>
      <w:r>
        <w:t xml:space="preserve">The</w:t>
      </w:r>
      <w:r>
        <w:t xml:space="preserve"> </w:t>
      </w:r>
      <w:r>
        <w:t xml:space="preserve">Electrical Engineer</w:t>
      </w:r>
      <w:r>
        <w:t xml:space="preserve"> </w:t>
      </w:r>
      <w:r>
        <w:t xml:space="preserve">engaged under this</w:t>
      </w:r>
      <w:r>
        <w:t xml:space="preserve"> </w:t>
      </w:r>
      <w:r>
        <w:t xml:space="preserve">Purchase Order</w:t>
      </w:r>
      <w:r>
        <w:t xml:space="preserve"> </w:t>
      </w:r>
      <w:r>
        <w:t xml:space="preserve">must hold a minimum of ten (10) years of professional experience in power distribution system design, a valid professional engineering license registered with the Chamber of Engineers of Kazakhstan, and demonstrated prior experience on projects located in</w:t>
      </w:r>
      <w:r>
        <w:t xml:space="preserve"> </w:t>
      </w:r>
      <w:r>
        <w:t xml:space="preserve">Kazakhstan Almaty</w:t>
      </w:r>
      <w:r>
        <w:t xml:space="preserve"> </w:t>
      </w:r>
      <w:r>
        <w:t xml:space="preserve">or equivalent Central Asian urban environments. All deliverables shall be submitted in both Russian and English to satisfy the regulatory requirements of the Almaty City Department of Energy and the national regulatory body, the Agency for Regulation of Natural Monopolies of the Republic of Kazakhstan.</w:t>
      </w:r>
    </w:p>
    <w:p>
      <w:pPr>
        <w:pStyle w:val="BodyText"/>
      </w:pPr>
      <w:r>
        <w:t xml:space="preserve">LINE ITEMS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(KZT)</w:t>
            </w:r>
          </w:p>
        </w:tc>
        <w:tc>
          <w:tcPr/>
          <w:p>
            <w:pPr>
              <w:pStyle w:val="Compact"/>
              <w:jc w:val="left"/>
            </w:pPr>
            <w:r>
              <w:t xml:space="preserve">Total (KZT)</w:t>
            </w:r>
          </w:p>
        </w:tc>
      </w:tr>
      <w:tr>
        <w:tc>
          <w:tcPr/>
          <w:p>
            <w:pPr>
              <w:pStyle w:val="Compact"/>
              <w:jc w:val="left"/>
            </w:pPr>
            <w:r>
              <w:t xml:space="preserve">1</w:t>
            </w:r>
          </w:p>
        </w:tc>
        <w:tc>
          <w:tcPr/>
          <w:p>
            <w:pPr>
              <w:pStyle w:val="Compact"/>
              <w:jc w:val="left"/>
            </w:pPr>
            <w:r>
              <w:t xml:space="preserve">Senior Electrical Engineer – Full-time design and supervision services (110 kV substation design, single-line diagrams, load flow analysis)</w:t>
            </w:r>
          </w:p>
        </w:tc>
        <w:tc>
          <w:tcPr/>
          <w:p>
            <w:pPr>
              <w:pStyle w:val="Compact"/>
              <w:jc w:val="left"/>
            </w:pPr>
            <w:r>
              <w:t xml:space="preserve">1</w:t>
            </w:r>
          </w:p>
        </w:tc>
        <w:tc>
          <w:tcPr/>
          <w:p>
            <w:pPr>
              <w:pStyle w:val="Compact"/>
              <w:jc w:val="left"/>
            </w:pPr>
            <w:r>
              <w:t xml:space="preserve">Person-Month (3 months)</w:t>
            </w:r>
          </w:p>
        </w:tc>
        <w:tc>
          <w:tcPr/>
          <w:p>
            <w:pPr>
              <w:pStyle w:val="Compact"/>
              <w:jc w:val="left"/>
            </w:pPr>
            <w:r>
              <w:t xml:space="preserve">4,500,000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Junior Electrical Engineer – Support for cable sizing, grounding grid design, and as-built documentation</w:t>
            </w:r>
          </w:p>
        </w:tc>
        <w:tc>
          <w:tcPr/>
          <w:p>
            <w:pPr>
              <w:pStyle w:val="Compact"/>
              <w:jc w:val="left"/>
            </w:pPr>
            <w:r>
              <w:t xml:space="preserve">2</w:t>
            </w:r>
          </w:p>
        </w:tc>
        <w:tc>
          <w:tcPr/>
          <w:p>
            <w:pPr>
              <w:pStyle w:val="Compact"/>
              <w:jc w:val="left"/>
            </w:pPr>
            <w:r>
              <w:t xml:space="preserve">Person-Month (3 months)</w:t>
            </w:r>
          </w:p>
        </w:tc>
        <w:tc>
          <w:tcPr/>
          <w:p>
            <w:pPr>
              <w:pStyle w:val="Compact"/>
              <w:jc w:val="left"/>
            </w:pPr>
            <w:r>
              <w:t xml:space="preserve">2,200,000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Protective Relay Coordination Study and SCADA Integration Review (Kazakhstan Almaty grid topology)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4</w:t>
            </w:r>
          </w:p>
        </w:tc>
        <w:tc>
          <w:tcPr/>
          <w:p>
            <w:pPr>
              <w:pStyle w:val="Compact"/>
              <w:jc w:val="left"/>
            </w:pPr>
            <w:r>
              <w:t xml:space="preserve">On-site Commissioning and Testing Supervision at Kazakhstan Almaty project locations (Almaly, Medeu, Bostandyk districts)</w:t>
            </w:r>
          </w:p>
        </w:tc>
        <w:tc>
          <w:tcPr/>
          <w:p>
            <w:pPr>
              <w:pStyle w:val="Compact"/>
              <w:jc w:val="left"/>
            </w:pPr>
            <w:r>
              <w:t xml:space="preserve">15</w:t>
            </w:r>
          </w:p>
        </w:tc>
        <w:tc>
          <w:tcPr/>
          <w:p>
            <w:pPr>
              <w:pStyle w:val="Compact"/>
              <w:jc w:val="left"/>
            </w:pPr>
            <w:r>
              <w:t xml:space="preserve">Working Days</w:t>
            </w:r>
          </w:p>
        </w:tc>
        <w:tc>
          <w:tcPr/>
          <w:p>
            <w:pPr>
              <w:pStyle w:val="Compact"/>
              <w:jc w:val="left"/>
            </w:pPr>
            <w:r>
              <w:t xml:space="preserve">350,000</w:t>
            </w:r>
          </w:p>
        </w:tc>
        <w:tc>
          <w:tcPr/>
          <w:p>
            <w:pPr>
              <w:pStyle w:val="Compact"/>
              <w:jc w:val="left"/>
            </w:pPr>
            <w:r>
              <w:t xml:space="preserve">5,250,000</w:t>
            </w:r>
          </w:p>
        </w:tc>
      </w:tr>
      <w:tr>
        <w:tc>
          <w:tcPr/>
          <w:p>
            <w:pPr>
              <w:pStyle w:val="Compact"/>
              <w:jc w:val="left"/>
            </w:pPr>
            <w:r>
              <w:t xml:space="preserve">5</w:t>
            </w:r>
          </w:p>
        </w:tc>
        <w:tc>
          <w:tcPr/>
          <w:p>
            <w:pPr>
              <w:pStyle w:val="Compact"/>
              <w:jc w:val="left"/>
            </w:pPr>
            <w:r>
              <w:t xml:space="preserve">Regulatory Compliance Certification and Submission to Almaty City Energy Authority</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t xml:space="preserve">Engineering Software Licenses (ETAP, DIgSILENT PowerFactory) – 3-month subscription for Kazakhstan Almaty project team</w:t>
            </w:r>
          </w:p>
        </w:tc>
        <w:tc>
          <w:tcPr/>
          <w:p>
            <w:pPr>
              <w:pStyle w:val="Compact"/>
              <w:jc w:val="left"/>
            </w:pPr>
            <w:r>
              <w:t xml:space="preserve">3</w:t>
            </w:r>
          </w:p>
        </w:tc>
        <w:tc>
          <w:tcPr/>
          <w:p>
            <w:pPr>
              <w:pStyle w:val="Compact"/>
              <w:jc w:val="left"/>
            </w:pPr>
            <w:r>
              <w:t xml:space="preserve">License</w:t>
            </w:r>
          </w:p>
        </w:tc>
        <w:tc>
          <w:tcPr/>
          <w:p>
            <w:pPr>
              <w:pStyle w:val="Compact"/>
              <w:jc w:val="left"/>
            </w:pPr>
            <w:r>
              <w:t xml:space="preserve">480,000</w:t>
            </w:r>
          </w:p>
        </w:tc>
        <w:tc>
          <w:tcPr/>
          <w:p>
            <w:pPr>
              <w:pStyle w:val="Compact"/>
              <w:jc w:val="left"/>
            </w:pPr>
            <w:r>
              <w:t xml:space="preserve">1,440,000</w:t>
            </w:r>
          </w:p>
        </w:tc>
      </w:tr>
      <w:tr>
        <w:tc>
          <w:tcPr>
            <w:gridSpan w:val="5"/>
          </w:tcPr>
          <w:p>
            <w:pPr>
              <w:pStyle w:val="Compact"/>
              <w:jc w:val="right"/>
            </w:pPr>
            <w:r>
              <w:t xml:space="preserve">Subtotal (KZT):</w:t>
            </w:r>
          </w:p>
        </w:tc>
        <w:tc>
          <w:tcPr/>
          <w:p>
            <w:pPr>
              <w:pStyle w:val="Compact"/>
              <w:jc w:val="left"/>
            </w:pPr>
            <w:r>
              <w:t xml:space="preserve">38,690,000</w:t>
            </w:r>
          </w:p>
        </w:tc>
      </w:tr>
      <w:tr>
        <w:tc>
          <w:tcPr>
            <w:gridSpan w:val="5"/>
          </w:tcPr>
          <w:p>
            <w:pPr>
              <w:pStyle w:val="Compact"/>
              <w:jc w:val="right"/>
            </w:pPr>
            <w:r>
              <w:t xml:space="preserve">VAT (12% per Kazakhstan tax law):</w:t>
            </w:r>
          </w:p>
        </w:tc>
        <w:tc>
          <w:tcPr/>
          <w:p>
            <w:pPr>
              <w:pStyle w:val="Compact"/>
              <w:jc w:val="left"/>
            </w:pPr>
            <w:r>
              <w:t xml:space="preserve">4,642,800</w:t>
            </w:r>
          </w:p>
        </w:tc>
      </w:tr>
      <w:tr>
        <w:tc>
          <w:tcPr>
            <w:gridSpan w:val="5"/>
          </w:tcPr>
          <w:p>
            <w:pPr>
              <w:pStyle w:val="Compact"/>
              <w:jc w:val="right"/>
            </w:pPr>
            <w:r>
              <w:rPr>
                <w:bCs/>
                <w:b/>
              </w:rPr>
              <w:t xml:space="preserve">GRAND TOTAL (KZT):</w:t>
            </w:r>
          </w:p>
        </w:tc>
        <w:tc>
          <w:tcPr/>
          <w:p>
            <w:pPr>
              <w:pStyle w:val="Compact"/>
              <w:jc w:val="left"/>
            </w:pPr>
            <w:r>
              <w:rPr>
                <w:bCs/>
                <w:b/>
              </w:rPr>
              <w:t xml:space="preserve">43,332,800</w:t>
            </w:r>
          </w:p>
        </w:tc>
      </w:tr>
      <w:tr>
        <w:tc>
          <w:tcPr>
            <w:gridSpan w:val="5"/>
          </w:tcPr>
          <w:p>
            <w:pPr>
              <w:pStyle w:val="Compact"/>
              <w:jc w:val="right"/>
            </w:pPr>
            <w:r>
              <w:rPr>
                <w:bCs/>
                <w:b/>
              </w:rPr>
              <w:t xml:space="preserve">GRAND TOTAL (USD, approx. at 450 KZT/USD):</w:t>
            </w:r>
          </w:p>
        </w:tc>
        <w:tc>
          <w:tcPr/>
          <w:p>
            <w:pPr>
              <w:pStyle w:val="Compact"/>
              <w:jc w:val="left"/>
            </w:pPr>
            <w:r>
              <w:rPr>
                <w:bCs/>
                <w:b/>
              </w:rPr>
              <w:t xml:space="preserve">$96,295.11</w:t>
            </w:r>
          </w:p>
        </w:tc>
      </w:tr>
    </w:tbl>
    <w:p>
      <w:pPr>
        <w:pStyle w:val="BodyText"/>
      </w:pPr>
      <w:r>
        <w:t xml:space="preserve">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Civil Code of the Republic of Kazakhstan and applicable regulations of the city of Kazakhstan Almaty. Any disputes arising from this Purchase Order shall be resolved through the Almaty City Arbitration Court.</w:t>
      </w:r>
    </w:p>
    <w:p>
      <w:pPr>
        <w:numPr>
          <w:ilvl w:val="0"/>
          <w:numId w:val="1001"/>
        </w:numPr>
        <w:pStyle w:val="Compact"/>
      </w:pPr>
      <w:r>
        <w:rPr>
          <w:bCs/>
          <w:b/>
        </w:rPr>
        <w:t xml:space="preserve">Payment Terms:</w:t>
      </w:r>
      <w:r>
        <w:t xml:space="preserve"> </w:t>
      </w:r>
      <w:r>
        <w:t xml:space="preserve">Payment shall be made in three (3) equal installments: 30% upon execution of this Purchase Order, 40% upon completion of all design deliverables and submission to the Kazakhstan Almaty regulatory authority, and 30% upon successful commissioning and final acceptance. All payments shall be made in Kazakhstani Tenge (KZT) via bank transfer to the account specified above.</w:t>
      </w:r>
    </w:p>
    <w:p>
      <w:pPr>
        <w:numPr>
          <w:ilvl w:val="0"/>
          <w:numId w:val="1001"/>
        </w:numPr>
        <w:pStyle w:val="Compact"/>
      </w:pPr>
      <w:r>
        <w:rPr>
          <w:bCs/>
          <w:b/>
        </w:rPr>
        <w:t xml:space="preserve">Delivery and Performance Location:</w:t>
      </w:r>
      <w:r>
        <w:t xml:space="preserve"> </w:t>
      </w:r>
      <w:r>
        <w:t xml:space="preserve">All services under this Purchase Order shall be performed at the project sites located in Kazakhstan Almaty. The Electrical Engineer and support team shall report to the Almaty Infrastructure Development Company LLP office at 152 Abai Avenue, Almaty, for weekly progress meetings every Monday at 09:00 local time.</w:t>
      </w:r>
    </w:p>
    <w:p>
      <w:pPr>
        <w:numPr>
          <w:ilvl w:val="0"/>
          <w:numId w:val="1001"/>
        </w:numPr>
        <w:pStyle w:val="Compact"/>
      </w:pPr>
      <w:r>
        <w:rPr>
          <w:bCs/>
          <w:b/>
        </w:rPr>
        <w:t xml:space="preserve">Intellectual Property:</w:t>
      </w:r>
      <w:r>
        <w:t xml:space="preserve"> </w:t>
      </w:r>
      <w:r>
        <w:t xml:space="preserve">All design documents, calculations, drawings, and reports produced by the Electrical Engineer under this Purchase Order shall become the exclusive property of Almaty Infrastructure Development Company LLP upon full payment. The vendor shall not reuse, reproduce, or disclose any project-specific data pertaining to the Kazakhstan Almaty grid infrastructure.</w:t>
      </w:r>
    </w:p>
    <w:p>
      <w:pPr>
        <w:numPr>
          <w:ilvl w:val="0"/>
          <w:numId w:val="1001"/>
        </w:numPr>
        <w:pStyle w:val="Compact"/>
      </w:pPr>
      <w:r>
        <w:rPr>
          <w:bCs/>
          <w:b/>
        </w:rPr>
        <w:t xml:space="preserve">Insurance and Liability:</w:t>
      </w:r>
      <w:r>
        <w:t xml:space="preserve"> </w:t>
      </w:r>
      <w:r>
        <w:t xml:space="preserve">The vendor shall maintain professional indemnity insurance with a minimum coverage of 50,000,000 KZT for the duration of the engagement. The Electrical Engineer shall be liable for any design errors or omissions that result in non-compliance with Kazakhstan national electrical standards or that cause damage to existing infrastructure in Kazakhstan Almaty.</w:t>
      </w:r>
    </w:p>
    <w:p>
      <w:pPr>
        <w:numPr>
          <w:ilvl w:val="0"/>
          <w:numId w:val="1001"/>
        </w:numPr>
        <w:pStyle w:val="Compact"/>
      </w:pPr>
      <w:r>
        <w:rPr>
          <w:bCs/>
          <w:b/>
        </w:rPr>
        <w:t xml:space="preserve">Force Majeure:</w:t>
      </w:r>
      <w:r>
        <w:t xml:space="preserve"> </w:t>
      </w:r>
      <w:r>
        <w:t xml:space="preserve">Neither party shall be held liable for delays caused by events beyond reasonable control, including but not limited to natural disasters, government-mandated shutdowns in Kazakhstan Almaty, or changes in national regulatory policy affecting electrical infrastructure projects.</w:t>
      </w:r>
    </w:p>
    <w:p>
      <w:pPr>
        <w:numPr>
          <w:ilvl w:val="0"/>
          <w:numId w:val="1001"/>
        </w:numPr>
        <w:pStyle w:val="Compact"/>
      </w:pPr>
      <w:r>
        <w:rPr>
          <w:bCs/>
          <w:b/>
        </w:rPr>
        <w:t xml:space="preserve">Confidentiality:</w:t>
      </w:r>
      <w:r>
        <w:t xml:space="preserve"> </w:t>
      </w:r>
      <w:r>
        <w:t xml:space="preserve">Both parties agree to maintain strict confidentiality regarding all technical data, grid topology information, and commercial terms contained in this Purchase Order. This obligation shall survive the termination of this Purchase Order for a period of five (5) years.</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vendor shall be compensated for all work completed and documented up to the date of termination, subject to verification by the project manager in Kazakhstan Almaty.</w:t>
      </w:r>
    </w:p>
    <w:p>
      <w:pPr>
        <w:numPr>
          <w:ilvl w:val="0"/>
          <w:numId w:val="1001"/>
        </w:numPr>
        <w:pStyle w:val="Compact"/>
      </w:pPr>
      <w:r>
        <w:rPr>
          <w:bCs/>
          <w:b/>
        </w:rPr>
        <w:t xml:space="preserve">Compliance with Local Regulations:</w:t>
      </w:r>
      <w:r>
        <w:t xml:space="preserve"> </w:t>
      </w:r>
      <w:r>
        <w:t xml:space="preserve">The Electrical Engineer shall ensure full compliance with all local, regional, and national regulations applicable to electrical engineering work in Kazakhstan Almaty, including but not limited to the Law of the Republic of Kazakhstan "On Electrical Energy and Electrical Installations" and the Almaty City Building Code.</w:t>
      </w:r>
    </w:p>
    <w:p>
      <w:pPr>
        <w:pStyle w:val="FirstParagraph"/>
      </w:pPr>
      <w:r>
        <w:t xml:space="preserve">ACCEPTANCE AND AUTHORIZATION</w:t>
      </w:r>
    </w:p>
    <w:p>
      <w:pPr>
        <w:pStyle w:val="BodyText"/>
      </w:pPr>
      <w:r>
        <w:t xml:space="preserve">By signing below, both parties acknowledge and agree to all terms, conditions, and specifications outlined in this Purchase Order for the engagement of Electrical Engineer services in Kazakhstan Almaty. This document constitutes a binding agreement upon countersignature by both authorized representatives.</w:t>
      </w:r>
    </w:p>
    <w:p>
      <w:pPr>
        <w:pStyle w:val="BodyText"/>
      </w:pPr>
      <w:r>
        <w:rPr>
          <w:bCs/>
          <w:b/>
        </w:rPr>
        <w:t xml:space="preserve">For and on behalf of:</w:t>
      </w:r>
      <w:r>
        <w:br/>
      </w:r>
      <w:r>
        <w:t xml:space="preserve">Almaty Infrastructure Development Company LLP</w:t>
      </w:r>
    </w:p>
    <w:p>
      <w:pPr>
        <w:pStyle w:val="BodyText"/>
      </w:pPr>
      <w:r>
        <w:t xml:space="preserve">Name: Aigerim Serikbayeva</w:t>
      </w:r>
    </w:p>
    <w:p>
      <w:pPr>
        <w:pStyle w:val="BodyText"/>
      </w:pPr>
      <w:r>
        <w:t xml:space="preserve">Title: Chief Procurement Officer</w:t>
      </w:r>
    </w:p>
    <w:p>
      <w:pPr>
        <w:pStyle w:val="BodyText"/>
      </w:pPr>
      <w:r>
        <w:t xml:space="preserve">Signature: _________________________</w:t>
      </w:r>
    </w:p>
    <w:p>
      <w:pPr>
        <w:pStyle w:val="BodyText"/>
      </w:pPr>
      <w:r>
        <w:t xml:space="preserve">Date: _________________________</w:t>
      </w:r>
    </w:p>
    <w:p>
      <w:pPr>
        <w:pStyle w:val="BodyText"/>
      </w:pPr>
      <w:r>
        <w:rPr>
          <w:bCs/>
          <w:b/>
        </w:rPr>
        <w:t xml:space="preserve">For and on behalf of:</w:t>
      </w:r>
      <w:r>
        <w:br/>
      </w:r>
      <w:r>
        <w:t xml:space="preserve">Steppe Electrical Engineering Solutions LLP</w:t>
      </w:r>
    </w:p>
    <w:p>
      <w:pPr>
        <w:pStyle w:val="BodyText"/>
      </w:pPr>
      <w:r>
        <w:t xml:space="preserve">Name: Timur Nurlanov</w:t>
      </w:r>
    </w:p>
    <w:p>
      <w:pPr>
        <w:pStyle w:val="BodyText"/>
      </w:pPr>
      <w:r>
        <w:t xml:space="preserve">Title: Senior Project Manager / Lead Electrical Engineer</w:t>
      </w:r>
    </w:p>
    <w:p>
      <w:pPr>
        <w:pStyle w:val="BodyText"/>
      </w:pPr>
      <w:r>
        <w:t xml:space="preserve">Signature: _________________________</w:t>
      </w:r>
    </w:p>
    <w:p>
      <w:pPr>
        <w:pStyle w:val="BodyText"/>
      </w:pPr>
      <w:r>
        <w:t xml:space="preserve">Date: _________________________</w:t>
      </w:r>
    </w:p>
    <w:p>
      <w:pPr>
        <w:pStyle w:val="BodyText"/>
      </w:pPr>
      <w:r>
        <w:t xml:space="preserve">This Purchase Order (PO-AIDC-2025-0487) is a controlled document of Almaty Infrastructure Development Company LLP. Unauthorized reproduction or distribution is prohibited. All references to Kazakhstan Almaty denote the administrative city of Almaty, Republic of Kazakhstan. This document is valid for a period of thirty (30) days from the date of issue. For inquiries, contact the Procurement Department at procurement@aidc-kz.com or +7 (727) 312-4567.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Electrical Engineer Services - Kazakhstan Almaty</dc:title>
  <dc:creator/>
  <dc:language>en</dc:language>
  <cp:keywords/>
  <dcterms:created xsi:type="dcterms:W3CDTF">2026-10-10T03:37:52Z</dcterms:created>
  <dcterms:modified xsi:type="dcterms:W3CDTF">2026-10-10T03:37:52Z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