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366be560490521fd938b52f91bde91ebb555a9a"/>
    <w:p>
      <w:pPr>
        <w:pStyle w:val="Heading1"/>
      </w:pPr>
      <w:r>
        <w:t xml:space="preserve">Meridian Infrastructure Solutions Sdn. Bhd.</w:t>
      </w:r>
    </w:p>
    <w:p>
      <w:pPr>
        <w:pStyle w:val="FirstParagraph"/>
      </w:pPr>
      <w:r>
        <w:t xml:space="preserve">Level 24, Menara Maxis, Jalan Tun Razak, 50400 Kuala Lumpur, Malaysia</w:t>
      </w:r>
    </w:p>
    <w:p>
      <w:pPr>
        <w:pStyle w:val="BodyText"/>
      </w:pPr>
      <w:r>
        <w:t xml:space="preserve">Tel: +603-2181 8888 | Email: procurement@meridianinfra.com.my</w:t>
      </w:r>
    </w:p>
    <w:p>
      <w:pPr>
        <w:pStyle w:val="BodyText"/>
      </w:pPr>
      <w:r>
        <w:t xml:space="preserve">Company Reg. No.: 201901045678 (K) | SST Reg. No.: 001903456789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PO-ML-2025-00472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KL-TRANSFORM-2025-Q3</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Malaysian Ringgit (MYR)</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VoltEdge Engineering Consultants Sdn. Bhd.</w:t>
      </w:r>
    </w:p>
    <w:p>
      <w:pPr>
        <w:pStyle w:val="BodyText"/>
      </w:pPr>
      <w:r>
        <w:rPr>
          <w:bCs/>
          <w:b/>
        </w:rPr>
        <w:t xml:space="preserve">Address:</w:t>
      </w:r>
      <w:r>
        <w:t xml:space="preserve"> </w:t>
      </w:r>
      <w:r>
        <w:t xml:space="preserve">Suite 1208, Level 12, The Exchange TRX, Persiaran TRX 2, 59100 Kuala Lumpur, Malaysia</w:t>
      </w:r>
    </w:p>
    <w:p>
      <w:pPr>
        <w:pStyle w:val="BodyText"/>
      </w:pPr>
      <w:r>
        <w:rPr>
          <w:bCs/>
          <w:b/>
        </w:rPr>
        <w:t xml:space="preserve">Contact Person:</w:t>
      </w:r>
      <w:r>
        <w:t xml:space="preserve"> </w:t>
      </w:r>
      <w:r>
        <w:t xml:space="preserve">En. Rajesh Kumar, Senior Electrical Engineer</w:t>
      </w:r>
    </w:p>
    <w:p>
      <w:pPr>
        <w:pStyle w:val="BodyText"/>
      </w:pPr>
      <w:r>
        <w:rPr>
          <w:bCs/>
          <w:b/>
        </w:rPr>
        <w:t xml:space="preserve">Tel:</w:t>
      </w:r>
      <w:r>
        <w:t xml:space="preserve"> </w:t>
      </w:r>
      <w:r>
        <w:t xml:space="preserve">+603-7722 4455</w:t>
      </w:r>
    </w:p>
    <w:p>
      <w:pPr>
        <w:pStyle w:val="BodyText"/>
      </w:pPr>
      <w:r>
        <w:rPr>
          <w:bCs/>
          <w:b/>
        </w:rPr>
        <w:t xml:space="preserve">Email:</w:t>
      </w:r>
      <w:r>
        <w:t xml:space="preserve"> </w:t>
      </w:r>
      <w:r>
        <w:t xml:space="preserve">contracts@voltedge.my</w:t>
      </w:r>
    </w:p>
    <w:p>
      <w:pPr>
        <w:pStyle w:val="BodyText"/>
      </w:pPr>
      <w:r>
        <w:rPr>
          <w:bCs/>
          <w:b/>
        </w:rPr>
        <w:t xml:space="preserve">Company Reg. No.:</w:t>
      </w:r>
      <w:r>
        <w:t xml:space="preserve"> </w:t>
      </w:r>
      <w:r>
        <w:t xml:space="preserve">201501234567 (K)</w:t>
      </w:r>
    </w:p>
    <w:bookmarkEnd w:id="22"/>
    <w:bookmarkStart w:id="23"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Capital Projects &amp; Infrastructure Division</w:t>
      </w:r>
    </w:p>
    <w:p>
      <w:pPr>
        <w:pStyle w:val="BodyText"/>
      </w:pPr>
      <w:r>
        <w:rPr>
          <w:bCs/>
          <w:b/>
        </w:rPr>
        <w:t xml:space="preserve">Requisitioned By:</w:t>
      </w:r>
      <w:r>
        <w:t xml:space="preserve"> </w:t>
      </w:r>
      <w:r>
        <w:t xml:space="preserve">Pn. Aisyah binti Mohd. Yusof, Project Manager</w:t>
      </w:r>
    </w:p>
    <w:p>
      <w:pPr>
        <w:pStyle w:val="BodyText"/>
      </w:pPr>
      <w:r>
        <w:rPr>
          <w:bCs/>
          <w:b/>
        </w:rPr>
        <w:t xml:space="preserve">Approved By:</w:t>
      </w:r>
      <w:r>
        <w:t xml:space="preserve"> </w:t>
      </w:r>
      <w:r>
        <w:t xml:space="preserve">Tan Sri. David Lim, Chief Financial Officer</w:t>
      </w:r>
    </w:p>
    <w:p>
      <w:pPr>
        <w:pStyle w:val="BodyText"/>
      </w:pPr>
      <w:r>
        <w:rPr>
          <w:bCs/>
          <w:b/>
        </w:rPr>
        <w:t xml:space="preserve">Work Location:</w:t>
      </w:r>
      <w:r>
        <w:t xml:space="preserve"> </w:t>
      </w:r>
      <w:r>
        <w:t xml:space="preserve">Bandar Baru Bangsar, 59100 Kuala Lumpur, Malaysia</w:t>
      </w:r>
    </w:p>
    <w:p>
      <w:pPr>
        <w:pStyle w:val="BodyText"/>
      </w:pPr>
      <w:r>
        <w:rPr>
          <w:bCs/>
          <w:b/>
        </w:rPr>
        <w:t xml:space="preserve">Site Contact:</w:t>
      </w:r>
      <w:r>
        <w:t xml:space="preserve"> </w:t>
      </w:r>
      <w:r>
        <w:t xml:space="preserve">En. Farid bin Hassan, Site Supervisor</w:t>
      </w:r>
    </w:p>
    <w:bookmarkEnd w:id="23"/>
    <w:bookmarkStart w:id="24" w:name="scope-summary"/>
    <w:p>
      <w:pPr>
        <w:pStyle w:val="Heading3"/>
      </w:pPr>
      <w:r>
        <w:t xml:space="preserve">Scope Summary</w:t>
      </w:r>
    </w:p>
    <w:p>
      <w:pPr>
        <w:pStyle w:val="FirstParagraph"/>
      </w:pPr>
      <w:r>
        <w:t xml:space="preserve">This Purchase Order is issued for the engagement of a qualified</w:t>
      </w:r>
      <w:r>
        <w:t xml:space="preserve"> </w:t>
      </w:r>
      <w:r>
        <w:rPr>
          <w:bCs/>
          <w:b/>
        </w:rPr>
        <w:t xml:space="preserve">Electrical Engineer</w:t>
      </w:r>
      <w:r>
        <w:t xml:space="preserve"> </w:t>
      </w:r>
      <w:r>
        <w:t xml:space="preserve">and supporting technical team to perform comprehensive electrical system design, load assessment, and compliance verification for the Kuala Lumpur commercial development project. All services shall be rendered in accordance with Malaysian standards, including the Electricity Regulations 1994, the Malaysian Standard (MS) 1466, and the guidelines issued by Tenaga Nasional Berhad (TNB) for installations in the Kuala Lumpur metropolitan area.</w:t>
      </w:r>
    </w:p>
    <w:bookmarkEnd w:id="24"/>
    <w:bookmarkStart w:id="25"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Engagement of a Principal Electrical Engineer (BEM-registered) for full-time site supervision and technical oversight of all electrical works at the Kuala Lumpur project site. Includes daily progress reporting, coordination with TNB, and attendance at weekly project meetings in Kuala Lumpur.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Preparation and submission of detailed electrical single-line diagrams, load flow analysis, and power distribution schematics for the 12-storey commercial building. All drawings to be stamped by a licensed Electrical Engineer registered with the Board of Engineers Malaysia (BEM) and compliant with Kuala Lumpur City Hall (DBKL) building by-laws.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Conduct of comprehensive electrical load assessment and energy efficiency audit for the existing infrastructure at the site. Deliverable to include a written report with recommendations for power factor correction, transformer sizing, and demand management strategies suitable for the Kuala Lumpur grid environment.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Design and specification of the emergency power backup system, including diesel generator set sizing, automatic transfer switch (ATS) configuration, and uninterruptible power supply (UPS) architecture. All designs to meet the requirements of the Fire and Rescue Department of Malaysia (Bomba) and the Electrical Installation Regulations 2014 as applicable in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28,300.00</w:t>
            </w:r>
          </w:p>
        </w:tc>
        <w:tc>
          <w:tcPr/>
          <w:p>
            <w:pPr>
              <w:pStyle w:val="Compact"/>
              <w:jc w:val="left"/>
            </w:pPr>
            <w:r>
              <w:t xml:space="preserve">28,300.00</w:t>
            </w:r>
          </w:p>
        </w:tc>
      </w:tr>
      <w:tr>
        <w:tc>
          <w:tcPr/>
          <w:p>
            <w:pPr>
              <w:pStyle w:val="Compact"/>
              <w:jc w:val="left"/>
            </w:pPr>
            <w:r>
              <w:t xml:space="preserve">5</w:t>
            </w:r>
          </w:p>
        </w:tc>
        <w:tc>
          <w:tcPr/>
          <w:p>
            <w:pPr>
              <w:pStyle w:val="Compact"/>
              <w:jc w:val="left"/>
            </w:pPr>
            <w:r>
              <w:t xml:space="preserve">Supervision and quality assurance of electrical installation works including cable tray routing, conduit installation, switchboard assembly, and earthing/grounding systems. The assigned Electrical Engineer shall perform weekly inspections and issue non-conformance reports as necessary. Minimum 15 site visits expected during the contract period.</w:t>
            </w:r>
          </w:p>
        </w:tc>
        <w:tc>
          <w:tcPr/>
          <w:p>
            <w:pPr>
              <w:pStyle w:val="Compact"/>
              <w:jc w:val="left"/>
            </w:pPr>
            <w:r>
              <w:t xml:space="preserve">15</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Preparation of the Electrical Completion Certificate (ECC) documentation package, including as-built drawings, test and commissioning reports, and compliance declarations. All documents to be submitted to DBKL and TNB for final approval and connection approval in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Provision of two (2) junior Electrical Engineer assistants to support the Principal Electrical Engineer in documentation, field measurements, and coordination with subcontractors. Assistants to be present on-site in Kuala Lumpur for a minimum of five (5) working days per week.</w:t>
            </w:r>
          </w:p>
        </w:tc>
        <w:tc>
          <w:tcPr/>
          <w:p>
            <w:pPr>
              <w:pStyle w:val="Compact"/>
              <w:jc w:val="left"/>
            </w:pPr>
            <w:r>
              <w:t xml:space="preserve">2</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13,000.00</w:t>
            </w:r>
          </w:p>
        </w:tc>
      </w:tr>
    </w:tbl>
    <w:p>
      <w:pPr>
        <w:pStyle w:val="BodyText"/>
      </w:pPr>
      <w:r>
        <w:t xml:space="preserve">Subtotal:</w:t>
      </w:r>
      <w:r>
        <w:t xml:space="preserve"> </w:t>
      </w:r>
      <w:r>
        <w:rPr>
          <w:bCs/>
          <w:b/>
        </w:rPr>
        <w:t xml:space="preserve">MYR 145,350.00</w:t>
      </w:r>
    </w:p>
    <w:p>
      <w:pPr>
        <w:pStyle w:val="BodyText"/>
      </w:pPr>
      <w:r>
        <w:t xml:space="preserve">Sales and Service Tax (SST) @ 8%:</w:t>
      </w:r>
      <w:r>
        <w:t xml:space="preserve"> </w:t>
      </w:r>
      <w:r>
        <w:rPr>
          <w:bCs/>
          <w:b/>
        </w:rPr>
        <w:t xml:space="preserve">MYR 11,628.00</w:t>
      </w:r>
    </w:p>
    <w:p>
      <w:pPr>
        <w:pStyle w:val="BodyText"/>
      </w:pPr>
      <w:r>
        <w:t xml:space="preserve">Grand Total:</w:t>
      </w:r>
      <w:r>
        <w:t xml:space="preserve"> </w:t>
      </w:r>
      <w:r>
        <w:rPr>
          <w:bCs/>
          <w:b/>
        </w:rPr>
        <w:t xml:space="preserve">MYR 156,978.00</w:t>
      </w:r>
    </w:p>
    <w:p>
      <w:pPr>
        <w:pStyle w:val="BodyText"/>
      </w:pPr>
      <w:r>
        <w:t xml:space="preserve">(One Hundred and Fifty-Six Thousand Nine Hundred and Seventy-Eight Malaysian Ringgit Only)</w:t>
      </w:r>
    </w:p>
    <w:bookmarkEnd w:id="25"/>
    <w:bookmarkStart w:id="26" w:name="terms-and-conditions"/>
    <w:p>
      <w:pPr>
        <w:pStyle w:val="Heading2"/>
      </w:pPr>
      <w:r>
        <w:t xml:space="preserve">Terms and Conditions</w:t>
      </w:r>
    </w:p>
    <w:p>
      <w:pPr>
        <w:numPr>
          <w:ilvl w:val="0"/>
          <w:numId w:val="1001"/>
        </w:numPr>
        <w:pStyle w:val="Compact"/>
      </w:pPr>
      <w:r>
        <w:t xml:space="preserve">This Purchase Order is governed by the laws of Malaysia and shall be interpreted in accordance with the Contract Act 1950 of Malaysia. Any disputes arising from this Purchase Order shall be subject to the jurisdiction of the courts in Kuala Lumpur, Malaysia.</w:t>
      </w:r>
    </w:p>
    <w:p>
      <w:pPr>
        <w:numPr>
          <w:ilvl w:val="0"/>
          <w:numId w:val="1001"/>
        </w:numPr>
        <w:pStyle w:val="Compact"/>
      </w:pPr>
      <w:r>
        <w:t xml:space="preserve">The Supplier shall ensure that the Principal Electrical Engineer assigned to this project holds a valid Practising Certificate (PC) issued by the Board of Engineers Malaysia (BEM) and is registered as a Professional Engineer (Ir.) in the discipline of Electrical Engineering. A copy of the registration certificate shall be submitted prior to commencement of work.</w:t>
      </w:r>
    </w:p>
    <w:p>
      <w:pPr>
        <w:numPr>
          <w:ilvl w:val="0"/>
          <w:numId w:val="1001"/>
        </w:numPr>
        <w:pStyle w:val="Compact"/>
      </w:pPr>
      <w:r>
        <w:t xml:space="preserve">All electrical designs, calculations, and documentation delivered under this Purchase Order shall comply with the Electricity Regulations 1994, the Electrical Installation Regulations 2014, Malaysian Standard MS 1466 (Wiring Regulations), and all applicable by-laws of the Kuala Lumpur City Hall (DBKL).</w:t>
      </w:r>
    </w:p>
    <w:p>
      <w:pPr>
        <w:numPr>
          <w:ilvl w:val="0"/>
          <w:numId w:val="1001"/>
        </w:numPr>
        <w:pStyle w:val="Compact"/>
      </w:pPr>
      <w:r>
        <w:t xml:space="preserve">The Supplier shall indemnify and hold harmless Meridian Infrastructure Solutions Sdn. Bhd. against any claims, losses, or liabilities arising from negligence, professional misconduct, or failure to meet the standards of care expected of a competent Electrical Engineer practising in Malaysia.</w:t>
      </w:r>
    </w:p>
    <w:p>
      <w:pPr>
        <w:numPr>
          <w:ilvl w:val="0"/>
          <w:numId w:val="1001"/>
        </w:numPr>
        <w:pStyle w:val="Compact"/>
      </w:pPr>
      <w:r>
        <w:t xml:space="preserve">Payment shall be made via bank transfer to the Supplier's designated account within thirty (30) calendar days from the date of receipt of a valid tax invoice. Late payments shall attract interest at the rate of 5% per annum as stipulated under the Late Payment of Outstanding Debts Act 2018 of Malaysia.</w:t>
      </w:r>
    </w:p>
    <w:p>
      <w:pPr>
        <w:numPr>
          <w:ilvl w:val="0"/>
          <w:numId w:val="1001"/>
        </w:numPr>
        <w:pStyle w:val="Compact"/>
      </w:pPr>
      <w:r>
        <w:t xml:space="preserve">The Supplier shall maintain adequate Professional Indemnity Insurance with a minimum coverage of MYR 2,000,000 per occurrence for the duration of this Purchase Order. A certificate of insurance shall be provided to the Buyer prior to the start of services.</w:t>
      </w:r>
    </w:p>
    <w:p>
      <w:pPr>
        <w:numPr>
          <w:ilvl w:val="0"/>
          <w:numId w:val="1001"/>
        </w:numPr>
        <w:pStyle w:val="Compact"/>
      </w:pPr>
      <w:r>
        <w:t xml:space="preserve">All work performed under this Purchase Order shall be carried out at the project site located in Kuala Lumpur, Malaysia, during normal working hours (Monday to Friday, 8:00 AM to 5:30 PM). Any work outside these hours or on public holidays shall require prior written approval from the Buyer's Project Manager.</w:t>
      </w:r>
    </w:p>
    <w:p>
      <w:pPr>
        <w:numPr>
          <w:ilvl w:val="0"/>
          <w:numId w:val="1001"/>
        </w:numPr>
        <w:pStyle w:val="Compact"/>
      </w:pPr>
      <w:r>
        <w:t xml:space="preserve">The Supplier shall comply with all Occupational Safety and Health Act 1994 (OSHA) requirements and the site-specific safety management plan. The Electrical Engineer and all support staff shall wear appropriate Personal Protective Equipment (PPE) at all times while on the Kuala Lumpur project site.</w:t>
      </w:r>
    </w:p>
    <w:p>
      <w:pPr>
        <w:numPr>
          <w:ilvl w:val="0"/>
          <w:numId w:val="1001"/>
        </w:numPr>
        <w:pStyle w:val="Compact"/>
      </w:pPr>
      <w:r>
        <w:t xml:space="preserve">Intellectual property rights in all designs, drawings, and reports produced under this Purchase Order shall vest in Meridian Infrastructure Solutions Sdn. Bhd. upon full payment. The Supplier shall not reuse or disclose such materials to third parties without written consent.</w:t>
      </w:r>
    </w:p>
    <w:p>
      <w:pPr>
        <w:numPr>
          <w:ilvl w:val="0"/>
          <w:numId w:val="1001"/>
        </w:numPr>
        <w:pStyle w:val="Compact"/>
      </w:pPr>
      <w:r>
        <w:t xml:space="preserve">This Purchase Order may be terminated by either party with fourteen (14) days' written notice. In the event of termination, the Supplier shall be compensated for all services rendered and approved deliverables up to the date of termination.</w:t>
      </w:r>
    </w:p>
    <w:bookmarkEnd w:id="26"/>
    <w:bookmarkStart w:id="27" w:name="acceptance-and-authorization"/>
    <w:p>
      <w:pPr>
        <w:pStyle w:val="Heading2"/>
      </w:pPr>
      <w:r>
        <w:t xml:space="preserve">Acceptance and Authorization</w:t>
      </w:r>
    </w:p>
    <w:p>
      <w:pPr>
        <w:pStyle w:val="FirstParagraph"/>
      </w:pPr>
      <w:r>
        <w:t xml:space="preserve">By signing below, the Supplier acknowledges receipt of this Purchase Order and agrees to perform all services described herein in accordance with the terms, conditions, and specifications set out in this document. The Supplier confirms that the Electrical Engineer and support team assigned to this project are fully qualified, experienced, and available to commence work at the Kuala Lumpur site by the required delivery date.</w:t>
      </w:r>
    </w:p>
    <w:p>
      <w:pPr>
        <w:pStyle w:val="BodyText"/>
      </w:pPr>
      <w:r>
        <w:rPr>
          <w:bCs/>
          <w:b/>
        </w:rPr>
        <w:t xml:space="preserve">For and on behalf of Meridian Infrastructure Solutions Sdn. Bhd. (Buyer)</w:t>
      </w:r>
      <w:r>
        <w:br/>
      </w:r>
      <w:r>
        <w:t xml:space="preserve">Name: Tan Sri. David Lim</w:t>
      </w:r>
      <w:r>
        <w:br/>
      </w:r>
      <w:r>
        <w:t xml:space="preserve">Designation: Chief Financial Officer</w:t>
      </w:r>
      <w:r>
        <w:br/>
      </w:r>
      <w:r>
        <w:t xml:space="preserve">Date: ______________________</w:t>
      </w:r>
    </w:p>
    <w:p>
      <w:pPr>
        <w:pStyle w:val="BodyText"/>
      </w:pPr>
      <w:r>
        <w:rPr>
          <w:bCs/>
          <w:b/>
        </w:rPr>
        <w:t xml:space="preserve">For and on behalf of VoltEdge Engineering Consultants Sdn. Bhd. (Supplier)</w:t>
      </w:r>
      <w:r>
        <w:br/>
      </w:r>
      <w:r>
        <w:t xml:space="preserve">Name: En. Rajesh Kumar</w:t>
      </w:r>
      <w:r>
        <w:br/>
      </w:r>
      <w:r>
        <w:t xml:space="preserve">Designation: Director / Senior Electrical Engineer</w:t>
      </w:r>
      <w:r>
        <w:br/>
      </w:r>
      <w:r>
        <w:t xml:space="preserve">Date: ______________________</w:t>
      </w:r>
    </w:p>
    <w:p>
      <w:pPr>
        <w:pStyle w:val="BodyText"/>
      </w:pPr>
      <w:r>
        <w:t xml:space="preserve">Purchase Order PO-ML-2025-00472</w:t>
      </w:r>
      <w:r>
        <w:t xml:space="preserve"> </w:t>
      </w:r>
      <w:r>
        <w:t xml:space="preserve"> |  Meridian Infrastructure Solutions Sdn. Bhd.  |  Kuala Lumpur, Malaysia</w:t>
      </w:r>
    </w:p>
    <w:p>
      <w:pPr>
        <w:pStyle w:val="BodyText"/>
      </w:pPr>
      <w:r>
        <w:t xml:space="preserve">This Purchase Order is valid for a period of ninety (90) days from the date of issue. Please reference the Purchase Order number on all correspondence, invoices, and delivery documents. This document is issued in accordance with the procurement policies of Meridian Infrastructure Solutions Sdn. Bhd. and applicable Malaysian commercial law.</w:t>
      </w:r>
    </w:p>
    <w:p>
      <w:pPr>
        <w:pStyle w:val="BodyText"/>
      </w:pPr>
      <w:r>
        <w:t xml:space="preserve">Page 1 of 1  |  Generated: 15 June 2025  |  Confidential – For Authorized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Malaysia Kuala Lumpur</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