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China</w:t>
      </w:r>
      <w:r>
        <w:t xml:space="preserve"> </w:t>
      </w:r>
      <w:r>
        <w:t xml:space="preserve">Beijing</w:t>
      </w:r>
    </w:p>
    <w:bookmarkStart w:id="27" w:name="purchase-order"/>
    <w:p>
      <w:pPr>
        <w:pStyle w:val="Heading1"/>
      </w:pPr>
      <w:r>
        <w:t xml:space="preserve">PURCHASE ORDER</w:t>
      </w:r>
    </w:p>
    <w:p>
      <w:pPr>
        <w:pStyle w:val="FirstParagraph"/>
      </w:pPr>
      <w:r>
        <w:rPr>
          <w:bCs/>
          <w:b/>
        </w:rPr>
        <w:t xml:space="preserve">Purchase Order No.:</w:t>
      </w:r>
      <w:r>
        <w:t xml:space="preserve"> </w:t>
      </w:r>
      <w:r>
        <w:t xml:space="preserve">PO-CB-2025-04872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Country / Region:</w:t>
      </w:r>
      <w:r>
        <w:t xml:space="preserve"> </w:t>
      </w:r>
      <w:r>
        <w:t xml:space="preserve">China Beijing</w:t>
      </w:r>
    </w:p>
    <w:p>
      <w:pPr>
        <w:pStyle w:val="BodyText"/>
      </w:pPr>
      <w:r>
        <w:rPr>
          <w:bCs/>
          <w:b/>
        </w:rPr>
        <w:t xml:space="preserve">Priority:</w:t>
      </w:r>
      <w:r>
        <w:t xml:space="preserve"> </w:t>
      </w:r>
      <w:r>
        <w:t xml:space="preserve">High</w:t>
      </w:r>
    </w:p>
    <w:p>
      <w:pPr>
        <w:pStyle w:val="BodyText"/>
      </w:pPr>
      <w:r>
        <w:rPr>
          <w:bCs/>
          <w:b/>
        </w:rPr>
        <w:t xml:space="preserve">Department:</w:t>
      </w:r>
      <w:r>
        <w:t xml:space="preserve"> </w:t>
      </w:r>
      <w:r>
        <w:t xml:space="preserve">Facilities &amp; Infrastructure</w:t>
      </w:r>
    </w:p>
    <w:p>
      <w:pPr>
        <w:pStyle w:val="BodyText"/>
      </w:pPr>
      <w:r>
        <w:rPr>
          <w:bCs/>
          <w:b/>
        </w:rPr>
        <w:t xml:space="preserve">Project Ref:</w:t>
      </w:r>
      <w:r>
        <w:t xml:space="preserve"> </w:t>
      </w:r>
      <w:r>
        <w:t xml:space="preserve">BJ-ELC-2025-Q2</w:t>
      </w:r>
    </w:p>
    <w:bookmarkStart w:id="20" w:name="parties-involved"/>
    <w:p>
      <w:pPr>
        <w:pStyle w:val="Heading2"/>
      </w:pPr>
      <w:r>
        <w:t xml:space="preserve">1. Parties Involved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Entity)</w:t>
            </w:r>
          </w:p>
        </w:tc>
        <w:tc>
          <w:tcPr/>
          <w:p>
            <w:pPr>
              <w:pStyle w:val="Compact"/>
              <w:jc w:val="left"/>
            </w:pPr>
            <w:r>
              <w:t xml:space="preserve">Beijing Horizon Commercial Development Co., Ltd.</w:t>
            </w:r>
          </w:p>
        </w:tc>
        <w:tc>
          <w:tcPr/>
          <w:p>
            <w:pPr>
              <w:pStyle w:val="Compact"/>
              <w:jc w:val="left"/>
            </w:pPr>
            <w:r>
              <w:t xml:space="preserve">Suite 1801, China World Tower, No. 1 Jianguomenwai Avenue, Chaoyang District, China Beijing, 100020</w:t>
            </w:r>
          </w:p>
        </w:tc>
        <w:tc>
          <w:tcPr/>
          <w:p>
            <w:pPr>
              <w:pStyle w:val="Compact"/>
              <w:jc w:val="left"/>
            </w:pPr>
            <w:r>
              <w:t xml:space="preserve">procurement@beijinghorizon.cn / +86-10-6588-2200</w:t>
            </w:r>
          </w:p>
        </w:tc>
      </w:tr>
      <w:tr>
        <w:tc>
          <w:tcPr/>
          <w:p>
            <w:pPr>
              <w:pStyle w:val="Compact"/>
              <w:jc w:val="left"/>
            </w:pPr>
            <w:r>
              <w:rPr>
                <w:bCs/>
                <w:b/>
              </w:rPr>
              <w:t xml:space="preserve">Supplier / Service Provider</w:t>
            </w:r>
          </w:p>
        </w:tc>
        <w:tc>
          <w:tcPr/>
          <w:p>
            <w:pPr>
              <w:pStyle w:val="Compact"/>
              <w:jc w:val="left"/>
            </w:pPr>
            <w:r>
              <w:t xml:space="preserve">Capital Electrician &amp; Electrical Engineering Services Ltd.</w:t>
            </w:r>
          </w:p>
        </w:tc>
        <w:tc>
          <w:tcPr/>
          <w:p>
            <w:pPr>
              <w:pStyle w:val="Compact"/>
              <w:jc w:val="left"/>
            </w:pPr>
            <w:r>
              <w:t xml:space="preserve">Room 512, Building 3, Haidian Science Park, No. 88 Zhongguancun Street, Haidian District, China Beijing, 100080</w:t>
            </w:r>
          </w:p>
        </w:tc>
        <w:tc>
          <w:tcPr/>
          <w:p>
            <w:pPr>
              <w:pStyle w:val="Compact"/>
              <w:jc w:val="left"/>
            </w:pPr>
            <w:r>
              <w:t xml:space="preserve">contracts@capitalelectrician.cn / +86-10-8255-7744</w:t>
            </w:r>
          </w:p>
        </w:tc>
      </w:tr>
    </w:tbl>
    <w:bookmarkEnd w:id="20"/>
    <w:bookmarkStart w:id="21" w:name="X81926a4c198d37ce087379fabbe39b2249c25b9"/>
    <w:p>
      <w:pPr>
        <w:pStyle w:val="Heading2"/>
      </w:pPr>
      <w:r>
        <w:t xml:space="preserve">2. Scope of Work – Electrician Services in China Beijing</w:t>
      </w:r>
    </w:p>
    <w:p>
      <w:pPr>
        <w:pStyle w:val="FirstParagraph"/>
      </w:pPr>
      <w:r>
        <w:t xml:space="preserve">This Purchase Order is issued by Beijing Horizon Commercial Development Co., Ltd. (hereinafter referred to as the "Buyer") to Capital Electrician &amp; Electrical Engineering Services Ltd. (hereinafter referred to as the "Supplier") for the provision of comprehensive Electrician services at the Buyer's commercial office complex located in China Beijing. The Electrician engagement covers the full scope of electrical installation, inspection, maintenance, and remediation work required to bring the building's electrical infrastructure into full compliance with the national standards of the People's Republic of China, specifically GB 50303 (Code for Acceptance of Construction Quality of Building Electrical Engineering) and the local regulations enforced by the Beijing Municipal Commission of Housing and Urban-Rural Development.</w:t>
      </w:r>
    </w:p>
    <w:p>
      <w:pPr>
        <w:pStyle w:val="BodyText"/>
      </w:pPr>
      <w:r>
        <w:t xml:space="preserve">The Electrician services under this Purchase Order shall include, but are not limited to, the following activities performed by a licensed and certified Electrician team operating within the jurisdiction of China Beijing:</w:t>
      </w:r>
    </w:p>
    <w:p>
      <w:pPr>
        <w:numPr>
          <w:ilvl w:val="0"/>
          <w:numId w:val="1001"/>
        </w:numPr>
        <w:pStyle w:val="Compact"/>
      </w:pPr>
      <w:r>
        <w:t xml:space="preserve">Complete inspection and diagnostic assessment of all existing electrical wiring, panels, and distribution systems across Floors 1 through 22 of the main tower in China Beijing.</w:t>
      </w:r>
    </w:p>
    <w:p>
      <w:pPr>
        <w:numPr>
          <w:ilvl w:val="0"/>
          <w:numId w:val="1001"/>
        </w:numPr>
        <w:pStyle w:val="Compact"/>
      </w:pPr>
      <w:r>
        <w:t xml:space="preserve">Replacement of 340 outdated fluorescent lighting fixtures with energy-efficient LED luminaires meeting the China Beijing municipal energy conservation mandate.</w:t>
      </w:r>
    </w:p>
    <w:p>
      <w:pPr>
        <w:numPr>
          <w:ilvl w:val="0"/>
          <w:numId w:val="1001"/>
        </w:numPr>
        <w:pStyle w:val="Compact"/>
      </w:pPr>
      <w:r>
        <w:t xml:space="preserve">Installation of a new 2,500 kVA three-phase power distribution panel on the ground floor, including all associated circuit breakers, surge protectors, and grounding infrastructure.</w:t>
      </w:r>
    </w:p>
    <w:p>
      <w:pPr>
        <w:numPr>
          <w:ilvl w:val="0"/>
          <w:numId w:val="1001"/>
        </w:numPr>
        <w:pStyle w:val="Compact"/>
      </w:pPr>
      <w:r>
        <w:t xml:space="preserve">Upgrading of the emergency backup generator interconnection system to ensure uninterrupted power supply in accordance with China Beijing fire safety codes.</w:t>
      </w:r>
    </w:p>
    <w:p>
      <w:pPr>
        <w:numPr>
          <w:ilvl w:val="0"/>
          <w:numId w:val="1001"/>
        </w:numPr>
        <w:pStyle w:val="Compact"/>
      </w:pPr>
      <w:r>
        <w:t xml:space="preserve">Installation of 120 new Type-A and Type-C electrical outlets in the open-plan office areas on Floors 5 through 15.</w:t>
      </w:r>
    </w:p>
    <w:p>
      <w:pPr>
        <w:numPr>
          <w:ilvl w:val="0"/>
          <w:numId w:val="1001"/>
        </w:numPr>
        <w:pStyle w:val="Compact"/>
      </w:pPr>
      <w:r>
        <w:t xml:space="preserve">Full testing, commissioning, and certification of all electrical systems by a qualified Electrician prior to handover, with documentation submitted to the relevant China Beijing regulatory authority.</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Electrician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Electrical system inspection and diagnostic report (China Beijing site)</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LED luminaire supply and installation (per fixture)</w:t>
            </w:r>
          </w:p>
        </w:tc>
        <w:tc>
          <w:tcPr/>
          <w:p>
            <w:pPr>
              <w:pStyle w:val="Compact"/>
              <w:jc w:val="left"/>
            </w:pPr>
            <w:r>
              <w:t xml:space="preserve">340</w:t>
            </w:r>
          </w:p>
        </w:tc>
        <w:tc>
          <w:tcPr/>
          <w:p>
            <w:pPr>
              <w:pStyle w:val="Compact"/>
              <w:jc w:val="left"/>
            </w:pPr>
            <w:r>
              <w:t xml:space="preserve">Unit</w:t>
            </w:r>
          </w:p>
        </w:tc>
        <w:tc>
          <w:tcPr/>
          <w:p>
            <w:pPr>
              <w:pStyle w:val="Compact"/>
              <w:jc w:val="left"/>
            </w:pPr>
            <w:r>
              <w:t xml:space="preserve">420.00</w:t>
            </w:r>
          </w:p>
        </w:tc>
        <w:tc>
          <w:tcPr/>
          <w:p>
            <w:pPr>
              <w:pStyle w:val="Compact"/>
              <w:jc w:val="left"/>
            </w:pPr>
            <w:r>
              <w:t xml:space="preserve">142,800.00</w:t>
            </w:r>
          </w:p>
        </w:tc>
      </w:tr>
      <w:tr>
        <w:tc>
          <w:tcPr/>
          <w:p>
            <w:pPr>
              <w:pStyle w:val="Compact"/>
              <w:jc w:val="left"/>
            </w:pPr>
            <w:r>
              <w:t xml:space="preserve">03</w:t>
            </w:r>
          </w:p>
        </w:tc>
        <w:tc>
          <w:tcPr/>
          <w:p>
            <w:pPr>
              <w:pStyle w:val="Compact"/>
              <w:jc w:val="left"/>
            </w:pPr>
            <w:r>
              <w:t xml:space="preserve">2,500 kVA distribution panel supply, installation, and commissioning</w:t>
            </w:r>
          </w:p>
        </w:tc>
        <w:tc>
          <w:tcPr/>
          <w:p>
            <w:pPr>
              <w:pStyle w:val="Compact"/>
              <w:jc w:val="left"/>
            </w:pPr>
            <w:r>
              <w:t xml:space="preserve">1</w:t>
            </w:r>
          </w:p>
        </w:tc>
        <w:tc>
          <w:tcPr/>
          <w:p>
            <w:pPr>
              <w:pStyle w:val="Compact"/>
              <w:jc w:val="left"/>
            </w:pPr>
            <w:r>
              <w:t xml:space="preserve">Set</w:t>
            </w:r>
          </w:p>
        </w:tc>
        <w:tc>
          <w:tcPr/>
          <w:p>
            <w:pPr>
              <w:pStyle w:val="Compact"/>
              <w:jc w:val="left"/>
            </w:pPr>
            <w:r>
              <w:t xml:space="preserve">385,000.00</w:t>
            </w:r>
          </w:p>
        </w:tc>
        <w:tc>
          <w:tcPr/>
          <w:p>
            <w:pPr>
              <w:pStyle w:val="Compact"/>
              <w:jc w:val="left"/>
            </w:pPr>
            <w:r>
              <w:t xml:space="preserve">385,000.00</w:t>
            </w:r>
          </w:p>
        </w:tc>
      </w:tr>
      <w:tr>
        <w:tc>
          <w:tcPr/>
          <w:p>
            <w:pPr>
              <w:pStyle w:val="Compact"/>
              <w:jc w:val="left"/>
            </w:pPr>
            <w:r>
              <w:t xml:space="preserve">04</w:t>
            </w:r>
          </w:p>
        </w:tc>
        <w:tc>
          <w:tcPr/>
          <w:p>
            <w:pPr>
              <w:pStyle w:val="Compact"/>
              <w:jc w:val="left"/>
            </w:pPr>
            <w:r>
              <w:t xml:space="preserve">Emergency generator interconnection upgrade and testing</w:t>
            </w:r>
          </w:p>
        </w:tc>
        <w:tc>
          <w:tcPr/>
          <w:p>
            <w:pPr>
              <w:pStyle w:val="Compact"/>
              <w:jc w:val="left"/>
            </w:pPr>
            <w:r>
              <w:t xml:space="preserve">1</w:t>
            </w:r>
          </w:p>
        </w:tc>
        <w:tc>
          <w:tcPr/>
          <w:p>
            <w:pPr>
              <w:pStyle w:val="Compact"/>
              <w:jc w:val="left"/>
            </w:pPr>
            <w:r>
              <w:t xml:space="preserve">Lot</w:t>
            </w:r>
          </w:p>
        </w:tc>
        <w:tc>
          <w:tcPr/>
          <w:p>
            <w:pPr>
              <w:pStyle w:val="Compact"/>
              <w:jc w:val="left"/>
            </w:pPr>
            <w:r>
              <w:t xml:space="preserve">96,000.00</w:t>
            </w:r>
          </w:p>
        </w:tc>
        <w:tc>
          <w:tcPr/>
          <w:p>
            <w:pPr>
              <w:pStyle w:val="Compact"/>
              <w:jc w:val="left"/>
            </w:pPr>
            <w:r>
              <w:t xml:space="preserve">96,000.00</w:t>
            </w:r>
          </w:p>
        </w:tc>
      </w:tr>
      <w:tr>
        <w:tc>
          <w:tcPr/>
          <w:p>
            <w:pPr>
              <w:pStyle w:val="Compact"/>
              <w:jc w:val="left"/>
            </w:pPr>
            <w:r>
              <w:t xml:space="preserve">05</w:t>
            </w:r>
          </w:p>
        </w:tc>
        <w:tc>
          <w:tcPr/>
          <w:p>
            <w:pPr>
              <w:pStyle w:val="Compact"/>
              <w:jc w:val="left"/>
            </w:pPr>
            <w:r>
              <w:t xml:space="preserve">New electrical outlet installation (per point)</w:t>
            </w:r>
          </w:p>
        </w:tc>
        <w:tc>
          <w:tcPr/>
          <w:p>
            <w:pPr>
              <w:pStyle w:val="Compact"/>
              <w:jc w:val="left"/>
            </w:pPr>
            <w:r>
              <w:t xml:space="preserve">120</w:t>
            </w:r>
          </w:p>
        </w:tc>
        <w:tc>
          <w:tcPr/>
          <w:p>
            <w:pPr>
              <w:pStyle w:val="Compact"/>
              <w:jc w:val="left"/>
            </w:pPr>
            <w:r>
              <w:t xml:space="preserve">Unit</w:t>
            </w:r>
          </w:p>
        </w:tc>
        <w:tc>
          <w:tcPr/>
          <w:p>
            <w:pPr>
              <w:pStyle w:val="Compact"/>
              <w:jc w:val="left"/>
            </w:pPr>
            <w:r>
              <w:t xml:space="preserve">350.00</w:t>
            </w:r>
          </w:p>
        </w:tc>
        <w:tc>
          <w:tcPr/>
          <w:p>
            <w:pPr>
              <w:pStyle w:val="Compact"/>
              <w:jc w:val="left"/>
            </w:pPr>
            <w:r>
              <w:t xml:space="preserve">42,000.00</w:t>
            </w:r>
          </w:p>
        </w:tc>
      </w:tr>
      <w:tr>
        <w:tc>
          <w:tcPr/>
          <w:p>
            <w:pPr>
              <w:pStyle w:val="Compact"/>
              <w:jc w:val="left"/>
            </w:pPr>
            <w:r>
              <w:t xml:space="preserve">06</w:t>
            </w:r>
          </w:p>
        </w:tc>
        <w:tc>
          <w:tcPr/>
          <w:p>
            <w:pPr>
              <w:pStyle w:val="Compact"/>
              <w:jc w:val="left"/>
            </w:pPr>
            <w:r>
              <w:t xml:space="preserve">Final testing, commissioning, and regulatory certification (China Beijing)</w:t>
            </w:r>
          </w:p>
        </w:tc>
        <w:tc>
          <w:tcPr/>
          <w:p>
            <w:pPr>
              <w:pStyle w:val="Compact"/>
              <w:jc w:val="left"/>
            </w:pPr>
            <w:r>
              <w:t xml:space="preserve">1</w:t>
            </w:r>
          </w:p>
        </w:tc>
        <w:tc>
          <w:tcPr/>
          <w:p>
            <w:pPr>
              <w:pStyle w:val="Compact"/>
              <w:jc w:val="left"/>
            </w:pPr>
            <w:r>
              <w:t xml:space="preserve">Lot</w:t>
            </w:r>
          </w:p>
        </w:tc>
        <w:tc>
          <w:tcPr/>
          <w:p>
            <w:pPr>
              <w:pStyle w:val="Compact"/>
              <w:jc w:val="left"/>
            </w:pPr>
            <w:r>
              <w:t xml:space="preserve">28,000.00</w:t>
            </w:r>
          </w:p>
        </w:tc>
        <w:tc>
          <w:tcPr/>
          <w:p>
            <w:pPr>
              <w:pStyle w:val="Compact"/>
              <w:jc w:val="left"/>
            </w:pPr>
            <w:r>
              <w:t xml:space="preserve">28,000.00</w:t>
            </w:r>
          </w:p>
        </w:tc>
      </w:tr>
      <w:tr>
        <w:tc>
          <w:tcPr/>
          <w:p>
            <w:pPr>
              <w:pStyle w:val="Compact"/>
              <w:jc w:val="left"/>
            </w:pPr>
            <w:r>
              <w:t xml:space="preserve">07</w:t>
            </w:r>
          </w:p>
        </w:tc>
        <w:tc>
          <w:tcPr/>
          <w:p>
            <w:pPr>
              <w:pStyle w:val="Compact"/>
              <w:jc w:val="left"/>
            </w:pPr>
            <w:r>
              <w:t xml:space="preserve">Project management, supervision, and documentation by lead Electrician</w:t>
            </w:r>
          </w:p>
        </w:tc>
        <w:tc>
          <w:tcPr/>
          <w:p>
            <w:pPr>
              <w:pStyle w:val="Compact"/>
              <w:jc w:val="left"/>
            </w:pPr>
            <w:r>
              <w:t xml:space="preserve">1</w:t>
            </w:r>
          </w:p>
        </w:tc>
        <w:tc>
          <w:tcPr/>
          <w:p>
            <w:pPr>
              <w:pStyle w:val="Compact"/>
              <w:jc w:val="left"/>
            </w:pPr>
            <w:r>
              <w:t xml:space="preserve">Lot</w:t>
            </w:r>
          </w:p>
        </w:tc>
        <w:tc>
          <w:tcPr/>
          <w:p>
            <w:pPr>
              <w:pStyle w:val="Compact"/>
              <w:jc w:val="left"/>
            </w:pPr>
            <w:r>
              <w:t xml:space="preserve">52,000.00</w:t>
            </w:r>
          </w:p>
        </w:tc>
        <w:tc>
          <w:tcPr/>
          <w:p>
            <w:pPr>
              <w:pStyle w:val="Compact"/>
              <w:jc w:val="left"/>
            </w:pPr>
            <w:r>
              <w:t xml:space="preserve">52,000.00</w:t>
            </w:r>
          </w:p>
        </w:tc>
      </w:tr>
      <w:tr>
        <w:tc>
          <w:tcPr>
            <w:gridSpan w:val="5"/>
          </w:tcPr>
          <w:p>
            <w:pPr>
              <w:pStyle w:val="Compact"/>
              <w:jc w:val="left"/>
            </w:pPr>
            <w:r>
              <w:rPr>
                <w:bCs/>
                <w:b/>
              </w:rPr>
              <w:t xml:space="preserve">Subtotal (CNY)</w:t>
            </w:r>
          </w:p>
        </w:tc>
        <w:tc>
          <w:tcPr/>
          <w:p>
            <w:pPr>
              <w:pStyle w:val="Compact"/>
              <w:jc w:val="left"/>
            </w:pPr>
            <w:r>
              <w:rPr>
                <w:bCs/>
                <w:b/>
              </w:rPr>
              <w:t xml:space="preserve">764,300.00</w:t>
            </w:r>
          </w:p>
        </w:tc>
      </w:tr>
      <w:tr>
        <w:tc>
          <w:tcPr>
            <w:gridSpan w:val="5"/>
          </w:tcPr>
          <w:p>
            <w:pPr>
              <w:pStyle w:val="Compact"/>
              <w:jc w:val="left"/>
            </w:pPr>
            <w:r>
              <w:rPr>
                <w:bCs/>
                <w:b/>
              </w:rPr>
              <w:t xml:space="preserve">VAT (13% – PRC Standard Rate)</w:t>
            </w:r>
          </w:p>
        </w:tc>
        <w:tc>
          <w:tcPr/>
          <w:p>
            <w:pPr>
              <w:pStyle w:val="Compact"/>
              <w:jc w:val="left"/>
            </w:pPr>
            <w:r>
              <w:rPr>
                <w:bCs/>
                <w:b/>
              </w:rPr>
              <w:t xml:space="preserve">99,359.00</w:t>
            </w:r>
          </w:p>
        </w:tc>
      </w:tr>
      <w:tr>
        <w:tc>
          <w:tcPr>
            <w:gridSpan w:val="5"/>
          </w:tcPr>
          <w:p>
            <w:pPr>
              <w:pStyle w:val="Compact"/>
              <w:jc w:val="left"/>
            </w:pPr>
            <w:r>
              <w:rPr>
                <w:bCs/>
                <w:b/>
              </w:rPr>
              <w:t xml:space="preserve">Grand Total (CNY)</w:t>
            </w:r>
          </w:p>
        </w:tc>
        <w:tc>
          <w:tcPr/>
          <w:p>
            <w:pPr>
              <w:pStyle w:val="Compact"/>
              <w:jc w:val="left"/>
            </w:pPr>
            <w:r>
              <w:rPr>
                <w:bCs/>
                <w:b/>
              </w:rPr>
              <w:t xml:space="preserve">863,659.00</w:t>
            </w:r>
          </w:p>
        </w:tc>
      </w:tr>
    </w:tbl>
    <w:bookmarkEnd w:id="22"/>
    <w:bookmarkStart w:id="23" w:name="schedule-and-milestones"/>
    <w:p>
      <w:pPr>
        <w:pStyle w:val="Heading2"/>
      </w:pPr>
      <w:r>
        <w:t xml:space="preserve">4. Schedule and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Target Date</w:t>
            </w:r>
          </w:p>
        </w:tc>
        <w:tc>
          <w:tcPr/>
          <w:p>
            <w:pPr>
              <w:pStyle w:val="Compact"/>
              <w:jc w:val="left"/>
            </w:pPr>
            <w:r>
              <w:t xml:space="preserve">Deliverable</w:t>
            </w:r>
          </w:p>
        </w:tc>
      </w:tr>
      <w:tr>
        <w:tc>
          <w:tcPr/>
          <w:p>
            <w:pPr>
              <w:pStyle w:val="Compact"/>
              <w:jc w:val="left"/>
            </w:pPr>
            <w:r>
              <w:t xml:space="preserve">Commencement of Electrician site work</w:t>
            </w:r>
          </w:p>
        </w:tc>
        <w:tc>
          <w:tcPr/>
          <w:p>
            <w:pPr>
              <w:pStyle w:val="Compact"/>
              <w:jc w:val="left"/>
            </w:pPr>
            <w:r>
              <w:t xml:space="preserve">20 June 2025</w:t>
            </w:r>
          </w:p>
        </w:tc>
        <w:tc>
          <w:tcPr/>
          <w:p>
            <w:pPr>
              <w:pStyle w:val="Compact"/>
              <w:jc w:val="left"/>
            </w:pPr>
            <w:r>
              <w:t xml:space="preserve">Site mobilization report</w:t>
            </w:r>
          </w:p>
        </w:tc>
      </w:tr>
      <w:tr>
        <w:tc>
          <w:tcPr/>
          <w:p>
            <w:pPr>
              <w:pStyle w:val="Compact"/>
              <w:jc w:val="left"/>
            </w:pPr>
            <w:r>
              <w:t xml:space="preserve">Completion of inspection and diagnostic phase</w:t>
            </w:r>
          </w:p>
        </w:tc>
        <w:tc>
          <w:tcPr/>
          <w:p>
            <w:pPr>
              <w:pStyle w:val="Compact"/>
              <w:jc w:val="left"/>
            </w:pPr>
            <w:r>
              <w:t xml:space="preserve">27 June 2025</w:t>
            </w:r>
          </w:p>
        </w:tc>
        <w:tc>
          <w:tcPr/>
          <w:p>
            <w:pPr>
              <w:pStyle w:val="Compact"/>
              <w:jc w:val="left"/>
            </w:pPr>
            <w:r>
              <w:t xml:space="preserve">Detailed inspection report</w:t>
            </w:r>
          </w:p>
        </w:tc>
      </w:tr>
      <w:tr>
        <w:tc>
          <w:tcPr/>
          <w:p>
            <w:pPr>
              <w:pStyle w:val="Compact"/>
              <w:jc w:val="left"/>
            </w:pPr>
            <w:r>
              <w:t xml:space="preserve">Completion of LED lighting installation</w:t>
            </w:r>
          </w:p>
        </w:tc>
        <w:tc>
          <w:tcPr/>
          <w:p>
            <w:pPr>
              <w:pStyle w:val="Compact"/>
              <w:jc w:val="left"/>
            </w:pPr>
            <w:r>
              <w:t xml:space="preserve">11 July 2025</w:t>
            </w:r>
          </w:p>
        </w:tc>
        <w:tc>
          <w:tcPr/>
          <w:p>
            <w:pPr>
              <w:pStyle w:val="Compact"/>
              <w:jc w:val="left"/>
            </w:pPr>
            <w:r>
              <w:t xml:space="preserve">Installation sign-off per floor</w:t>
            </w:r>
          </w:p>
        </w:tc>
      </w:tr>
      <w:tr>
        <w:tc>
          <w:tcPr/>
          <w:p>
            <w:pPr>
              <w:pStyle w:val="Compact"/>
              <w:jc w:val="left"/>
            </w:pPr>
            <w:r>
              <w:t xml:space="preserve">Completion of distribution panel and generator work</w:t>
            </w:r>
          </w:p>
        </w:tc>
        <w:tc>
          <w:tcPr/>
          <w:p>
            <w:pPr>
              <w:pStyle w:val="Compact"/>
              <w:jc w:val="left"/>
            </w:pPr>
            <w:r>
              <w:t xml:space="preserve">25 July 2025</w:t>
            </w:r>
          </w:p>
        </w:tc>
        <w:tc>
          <w:tcPr/>
          <w:p>
            <w:pPr>
              <w:pStyle w:val="Compact"/>
              <w:jc w:val="left"/>
            </w:pPr>
            <w:r>
              <w:t xml:space="preserve">Commissioning certificate</w:t>
            </w:r>
          </w:p>
        </w:tc>
      </w:tr>
      <w:tr>
        <w:tc>
          <w:tcPr/>
          <w:p>
            <w:pPr>
              <w:pStyle w:val="Compact"/>
              <w:jc w:val="left"/>
            </w:pPr>
            <w:r>
              <w:t xml:space="preserve">Final testing and China Beijing regulatory submission</w:t>
            </w:r>
          </w:p>
        </w:tc>
        <w:tc>
          <w:tcPr/>
          <w:p>
            <w:pPr>
              <w:pStyle w:val="Compact"/>
              <w:jc w:val="left"/>
            </w:pPr>
            <w:r>
              <w:t xml:space="preserve">08 August 2025</w:t>
            </w:r>
          </w:p>
        </w:tc>
        <w:tc>
          <w:tcPr/>
          <w:p>
            <w:pPr>
              <w:pStyle w:val="Compact"/>
              <w:jc w:val="left"/>
            </w:pPr>
            <w:r>
              <w:t xml:space="preserve">Certified compliance dossier</w:t>
            </w:r>
          </w:p>
        </w:tc>
      </w:tr>
      <w:tr>
        <w:tc>
          <w:tcPr/>
          <w:p>
            <w:pPr>
              <w:pStyle w:val="Compact"/>
              <w:jc w:val="left"/>
            </w:pPr>
            <w:r>
              <w:t xml:space="preserve">Project handover and close-out</w:t>
            </w:r>
          </w:p>
        </w:tc>
        <w:tc>
          <w:tcPr/>
          <w:p>
            <w:pPr>
              <w:pStyle w:val="Compact"/>
              <w:jc w:val="left"/>
            </w:pPr>
            <w:r>
              <w:t xml:space="preserve">15 August 2025</w:t>
            </w:r>
          </w:p>
        </w:tc>
        <w:tc>
          <w:tcPr/>
          <w:p>
            <w:pPr>
              <w:pStyle w:val="Compact"/>
              <w:jc w:val="left"/>
            </w:pPr>
            <w:r>
              <w:t xml:space="preserve">Final acceptance letter</w:t>
            </w:r>
          </w:p>
        </w:tc>
      </w:tr>
    </w:tbl>
    <w:bookmarkEnd w:id="23"/>
    <w:bookmarkStart w:id="24" w:name="payment-terms"/>
    <w:p>
      <w:pPr>
        <w:pStyle w:val="Heading2"/>
      </w:pPr>
      <w:r>
        <w:t xml:space="preserve">5. Payment Terms</w:t>
      </w:r>
    </w:p>
    <w:p>
      <w:pPr>
        <w:pStyle w:val="FirstParagraph"/>
      </w:pPr>
      <w:r>
        <w:t xml:space="preserve">Payment for this Purchase Order shall be made in Renminbi (CNY) via bank transfer to the Supplier's designated account. The payment schedule is structured as follows:</w:t>
      </w:r>
    </w:p>
    <w:p>
      <w:pPr>
        <w:numPr>
          <w:ilvl w:val="0"/>
          <w:numId w:val="1002"/>
        </w:numPr>
        <w:pStyle w:val="Compact"/>
      </w:pPr>
      <w:r>
        <w:rPr>
          <w:bCs/>
          <w:b/>
        </w:rPr>
        <w:t xml:space="preserve">30% advance payment</w:t>
      </w:r>
      <w:r>
        <w:t xml:space="preserve"> </w:t>
      </w:r>
      <w:r>
        <w:t xml:space="preserve">(CNY 259,097.70) upon execution of this Purchase Order and receipt of a valid proforma invoice.</w:t>
      </w:r>
    </w:p>
    <w:p>
      <w:pPr>
        <w:numPr>
          <w:ilvl w:val="0"/>
          <w:numId w:val="1002"/>
        </w:numPr>
        <w:pStyle w:val="Compact"/>
      </w:pPr>
      <w:r>
        <w:rPr>
          <w:bCs/>
          <w:b/>
        </w:rPr>
        <w:t xml:space="preserve">40% progress payment</w:t>
      </w:r>
      <w:r>
        <w:t xml:space="preserve"> </w:t>
      </w:r>
      <w:r>
        <w:t xml:space="preserve">(CNY 345,463.60) upon completion of the distribution panel installation and generator interconnection, subject to interim inspection by the Buyer's representative.</w:t>
      </w:r>
    </w:p>
    <w:p>
      <w:pPr>
        <w:numPr>
          <w:ilvl w:val="0"/>
          <w:numId w:val="1002"/>
        </w:numPr>
        <w:pStyle w:val="Compact"/>
      </w:pPr>
      <w:r>
        <w:rPr>
          <w:bCs/>
          <w:b/>
        </w:rPr>
        <w:t xml:space="preserve">30% final payment</w:t>
      </w:r>
      <w:r>
        <w:t xml:space="preserve"> </w:t>
      </w:r>
      <w:r>
        <w:t xml:space="preserve">(CNY 259,097.70) upon successful completion of all Electrician services, final testing, and receipt of the China Beijing regulatory compliance certificate.</w:t>
      </w:r>
    </w:p>
    <w:p>
      <w:pPr>
        <w:pStyle w:val="FirstParagraph"/>
      </w:pPr>
      <w:r>
        <w:t xml:space="preserve">All invoices must reference Purchase Order No. PO-CB-2025-04872. Payment terms are Net 30 days from the date of invoice acceptance. Late payments shall incur interest at the rate prescribed by the People's Bank of China for overdue commercial receivables.</w:t>
      </w:r>
    </w:p>
    <w:bookmarkEnd w:id="24"/>
    <w:bookmarkStart w:id="25" w:name="terms-and-conditions"/>
    <w:p>
      <w:pPr>
        <w:pStyle w:val="Heading2"/>
      </w:pPr>
      <w:r>
        <w:t xml:space="preserve">6. Terms and Conditions</w:t>
      </w:r>
    </w:p>
    <w:p>
      <w:pPr>
        <w:numPr>
          <w:ilvl w:val="0"/>
          <w:numId w:val="1003"/>
        </w:numPr>
        <w:pStyle w:val="Compact"/>
      </w:pPr>
      <w:r>
        <w:t xml:space="preserve">This Purchase Order is governed by the laws of the People's Republic of China. Any disputes arising from the interpretation or performance of this Purchase Order shall be resolved through arbitration at the Beijing Arbitration Commission in accordance with its then-current rules.</w:t>
      </w:r>
    </w:p>
    <w:p>
      <w:pPr>
        <w:numPr>
          <w:ilvl w:val="0"/>
          <w:numId w:val="1003"/>
        </w:numPr>
        <w:pStyle w:val="Compact"/>
      </w:pPr>
      <w:r>
        <w:t xml:space="preserve">The Supplier warrants that all Electrician personnel assigned to this project in China Beijing hold valid electrical work licenses issued by the relevant municipal authority and possess the requisite safety certifications. The Supplier shall maintain comprehensive liability insurance with a minimum coverage of CNY 5,000,000 for the duration of the contract.</w:t>
      </w:r>
    </w:p>
    <w:p>
      <w:pPr>
        <w:numPr>
          <w:ilvl w:val="0"/>
          <w:numId w:val="1003"/>
        </w:numPr>
        <w:pStyle w:val="Compact"/>
      </w:pPr>
      <w:r>
        <w:t xml:space="preserve">The Supplier shall comply with all applicable health, safety, and environmental regulations in force in China Beijing, including but not limited to the Work Safety Law of the PRC and the Beijing Municipal Construction Safety Management Regulations.</w:t>
      </w:r>
    </w:p>
    <w:p>
      <w:pPr>
        <w:numPr>
          <w:ilvl w:val="0"/>
          <w:numId w:val="1003"/>
        </w:numPr>
        <w:pStyle w:val="Compact"/>
      </w:pPr>
      <w:r>
        <w:t xml:space="preserve">The Buyer reserves the right to conduct unannounced site inspections. The Electrician team shall provide full access to all work areas and maintain a daily site logbook available for review.</w:t>
      </w:r>
    </w:p>
    <w:p>
      <w:pPr>
        <w:numPr>
          <w:ilvl w:val="0"/>
          <w:numId w:val="1003"/>
        </w:numPr>
        <w:pStyle w:val="Compact"/>
      </w:pPr>
      <w:r>
        <w:t xml:space="preserve">Any variation or amendment to the scope of Electrician services defined in this Purchase Order must be agreed in writing by both parties prior to execution. Unauthorized deviations shall not be eligible for additional compensation.</w:t>
      </w:r>
    </w:p>
    <w:p>
      <w:pPr>
        <w:numPr>
          <w:ilvl w:val="0"/>
          <w:numId w:val="1003"/>
        </w:numPr>
        <w:pStyle w:val="Compact"/>
      </w:pPr>
      <w:r>
        <w:t xml:space="preserve">The Supplier shall provide a minimum 24-month warranty on all installed electrical components and workmanship. Warranty claims shall be addressed within 5 business days of written notification.</w:t>
      </w:r>
    </w:p>
    <w:p>
      <w:pPr>
        <w:numPr>
          <w:ilvl w:val="0"/>
          <w:numId w:val="1003"/>
        </w:numPr>
        <w:pStyle w:val="Compact"/>
      </w:pPr>
      <w:r>
        <w:t xml:space="preserve">Confidentiality: Both parties agree to treat all technical drawings, system schematics, and commercial terms contained in or arising from this Purchase Order as strictly confidential and shall not disclose them to third parties without prior written consent.</w:t>
      </w:r>
    </w:p>
    <w:bookmarkEnd w:id="25"/>
    <w:bookmarkStart w:id="26" w:name="acceptance-and-authorization"/>
    <w:p>
      <w:pPr>
        <w:pStyle w:val="Heading2"/>
      </w:pPr>
      <w:r>
        <w:t xml:space="preserve">7. Acceptance and Authorization</w:t>
      </w:r>
    </w:p>
    <w:p>
      <w:pPr>
        <w:pStyle w:val="FirstParagraph"/>
      </w:pPr>
      <w:r>
        <w:t xml:space="preserve">By signing below, both parties acknowledge and accept all terms, conditions, and specifications set forth in this Purchase Order for the Electrician services to be performed in China Beijing. This document constitutes a binding commercial agreement upon countersignature by both authorized representatives.</w:t>
      </w:r>
    </w:p>
    <w:p>
      <w:pPr>
        <w:pStyle w:val="BodyText"/>
      </w:pPr>
      <w:r>
        <w:rPr>
          <w:bCs/>
          <w:b/>
        </w:rPr>
        <w:t xml:space="preserve">For and on behalf of the Buyer:</w:t>
      </w:r>
    </w:p>
    <w:p>
      <w:pPr>
        <w:pStyle w:val="BodyText"/>
      </w:pPr>
      <w:r>
        <w:t xml:space="preserve">Beijing Horizon Commercial Development Co., Ltd.</w:t>
      </w:r>
    </w:p>
    <w:p>
      <w:pPr>
        <w:pStyle w:val="BodyText"/>
      </w:pPr>
      <w:r>
        <w:t xml:space="preserve">Authorized Signatory: ___________________________</w:t>
      </w:r>
    </w:p>
    <w:p>
      <w:pPr>
        <w:pStyle w:val="BodyText"/>
      </w:pPr>
      <w:r>
        <w:t xml:space="preserve">Name: Mr. Zhang Wei</w:t>
      </w:r>
    </w:p>
    <w:p>
      <w:pPr>
        <w:pStyle w:val="BodyText"/>
      </w:pPr>
      <w:r>
        <w:t xml:space="preserve">Title: Director of Procurement</w:t>
      </w:r>
    </w:p>
    <w:p>
      <w:pPr>
        <w:pStyle w:val="BodyText"/>
      </w:pPr>
      <w:r>
        <w:t xml:space="preserve">Date: ___________________________</w:t>
      </w:r>
    </w:p>
    <w:p>
      <w:pPr>
        <w:pStyle w:val="BodyText"/>
      </w:pPr>
      <w:r>
        <w:t xml:space="preserve">Company Seal: ___________________________</w:t>
      </w:r>
    </w:p>
    <w:p>
      <w:pPr>
        <w:pStyle w:val="BodyText"/>
      </w:pPr>
      <w:r>
        <w:rPr>
          <w:bCs/>
          <w:b/>
        </w:rPr>
        <w:t xml:space="preserve">For and on behalf of the Supplier:</w:t>
      </w:r>
    </w:p>
    <w:p>
      <w:pPr>
        <w:pStyle w:val="BodyText"/>
      </w:pPr>
      <w:r>
        <w:t xml:space="preserve">Capital Electrician &amp; Electrical Engineering Services Ltd.</w:t>
      </w:r>
    </w:p>
    <w:p>
      <w:pPr>
        <w:pStyle w:val="BodyText"/>
      </w:pPr>
      <w:r>
        <w:t xml:space="preserve">Authorized Signatory: ___________________________</w:t>
      </w:r>
    </w:p>
    <w:p>
      <w:pPr>
        <w:pStyle w:val="BodyText"/>
      </w:pPr>
      <w:r>
        <w:t xml:space="preserve">Name: Ms. Li Fang</w:t>
      </w:r>
    </w:p>
    <w:p>
      <w:pPr>
        <w:pStyle w:val="BodyText"/>
      </w:pPr>
      <w:r>
        <w:t xml:space="preserve">Title: General Manager / Lead Electrician</w:t>
      </w:r>
    </w:p>
    <w:p>
      <w:pPr>
        <w:pStyle w:val="BodyText"/>
      </w:pPr>
      <w:r>
        <w:t xml:space="preserve">Date: ___________________________</w:t>
      </w:r>
    </w:p>
    <w:p>
      <w:pPr>
        <w:pStyle w:val="BodyText"/>
      </w:pPr>
      <w:r>
        <w:t xml:space="preserve">Company Seal: ___________________________</w:t>
      </w:r>
    </w:p>
    <w:p>
      <w:pPr>
        <w:pStyle w:val="BodyText"/>
      </w:pPr>
      <w:r>
        <w:t xml:space="preserve">This Purchase Order (PO-CB-2025-04872) is issued for Electrician services to be executed in China Beijing. All references to regulatory compliance, licensing, and safety standards pertain to the jurisdiction of China Beijing and the People's Republic of China. This document is valid for a period of 30 calendar days from the date of issue. Please retain a copy for your records. For inquiries regarding this Purchase Order, contact the Buyer's Procurement Department at procurement@beijinghorizon.cn.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China Beijing</dc:title>
  <dc:creator/>
  <dc:language>en</dc:language>
  <cp:keywords/>
  <dcterms:created xsi:type="dcterms:W3CDTF">2026-10-10T08:36:10Z</dcterms:created>
  <dcterms:modified xsi:type="dcterms:W3CDTF">2026-10-10T08:36:10Z</dcterms:modified>
</cp:coreProperties>
</file>

<file path=docProps/custom.xml><?xml version="1.0" encoding="utf-8"?>
<Properties xmlns="http://schemas.openxmlformats.org/officeDocument/2006/custom-properties" xmlns:vt="http://schemas.openxmlformats.org/officeDocument/2006/docPropsVTypes"/>
</file>