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Electrician</w:t>
      </w:r>
      <w:r>
        <w:t xml:space="preserve"> </w:t>
      </w:r>
      <w:r>
        <w:t xml:space="preserve">Services</w:t>
      </w:r>
      <w:r>
        <w:t xml:space="preserve"> </w:t>
      </w:r>
      <w:r>
        <w:t xml:space="preserve">-</w:t>
      </w:r>
      <w:r>
        <w:t xml:space="preserve"> </w:t>
      </w:r>
      <w:r>
        <w:t xml:space="preserve">Malaysia</w:t>
      </w:r>
      <w:r>
        <w:t xml:space="preserve"> </w:t>
      </w:r>
      <w:r>
        <w:t xml:space="preserve">Kuala</w:t>
      </w:r>
      <w:r>
        <w:t xml:space="preserve"> </w:t>
      </w:r>
      <w:r>
        <w:t xml:space="preserve">Lumpur</w:t>
      </w:r>
    </w:p>
    <w:bookmarkStart w:id="20" w:name="purchase-order"/>
    <w:p>
      <w:pPr>
        <w:pStyle w:val="Heading1"/>
      </w:pPr>
      <w:r>
        <w:t xml:space="preserve">PURCHASE ORDER</w:t>
      </w:r>
    </w:p>
    <w:p>
      <w:pPr>
        <w:pStyle w:val="FirstParagraph"/>
      </w:pPr>
      <w:r>
        <w:t xml:space="preserve">Electrician Services &amp; Electrical Installation Works</w:t>
      </w:r>
    </w:p>
    <w:p>
      <w:pPr>
        <w:pStyle w:val="BodyText"/>
      </w:pPr>
      <w:r>
        <w:t xml:space="preserve">Malaysia Kuala Lumpur</w:t>
      </w:r>
    </w:p>
    <w:bookmarkEnd w:id="20"/>
    <w:p>
      <w:pPr>
        <w:pStyle w:val="BodyText"/>
      </w:pPr>
      <w:r>
        <w:rPr>
          <w:bCs/>
          <w:b/>
        </w:rPr>
        <w:t xml:space="preserve">Purchase Order No.:</w:t>
      </w:r>
      <w:r>
        <w:t xml:space="preserve"> </w:t>
      </w:r>
      <w:r>
        <w:t xml:space="preserve">PO-KL-2025-04872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Malaysian Ringgit (MYR)</w:t>
      </w:r>
      <w:r>
        <w:br/>
      </w:r>
      <w:r>
        <w:rPr>
          <w:bCs/>
          <w:b/>
        </w:rPr>
        <w:t xml:space="preserve">Incoterms:</w:t>
      </w:r>
      <w:r>
        <w:t xml:space="preserve"> </w:t>
      </w:r>
      <w:r>
        <w:t xml:space="preserve">DDP – Kuala Lumpur</w:t>
      </w:r>
    </w:p>
    <w:p>
      <w:pPr>
        <w:pStyle w:val="BodyText"/>
      </w:pPr>
      <w:r>
        <w:t xml:space="preserve">1. BUYER INFORMATION</w:t>
      </w:r>
    </w:p>
    <w:tbl>
      <w:tblPr>
        <w:tblStyle w:val="Table"/>
        <w:tblW w:type="pct" w:w="5000"/>
        <w:tblLook w:firstRow="0" w:lastRow="0" w:firstColumn="0" w:lastColumn="0" w:noHBand="0" w:noVBand="0" w:val="0000"/>
      </w:tblPr>
      <w:tblGrid>
        <w:gridCol w:w="3960"/>
        <w:gridCol w:w="3960"/>
      </w:tblGrid>
      <w:tr>
        <w:tc>
          <w:tcPr/>
          <w:p>
            <w:pPr>
              <w:pStyle w:val="Compact"/>
              <w:jc w:val="left"/>
            </w:pPr>
            <w:r>
              <w:rPr>
                <w:bCs/>
                <w:b/>
              </w:rPr>
              <w:t xml:space="preserve">Company Name:</w:t>
            </w:r>
            <w:r>
              <w:br/>
            </w:r>
            <w:r>
              <w:t xml:space="preserve">Meridian Commercial Properties Sdn. Bhd.</w:t>
            </w:r>
          </w:p>
        </w:tc>
        <w:tc>
          <w:tcPr/>
          <w:p>
            <w:pPr>
              <w:pStyle w:val="Compact"/>
              <w:jc w:val="left"/>
            </w:pPr>
            <w:r>
              <w:rPr>
                <w:bCs/>
                <w:b/>
              </w:rPr>
              <w:t xml:space="preserve">Address:</w:t>
            </w:r>
            <w:r>
              <w:br/>
            </w:r>
            <w:r>
              <w:t xml:space="preserve">Level 22, Menara KLCC, No. 12, Jalan P. Ramlee,</w:t>
            </w:r>
            <w:r>
              <w:br/>
            </w:r>
            <w:r>
              <w:t xml:space="preserve">50250 Kuala Lumpur, Wilayah Persekutuan Kuala Lumpur, Malaysia</w:t>
            </w:r>
          </w:p>
        </w:tc>
      </w:tr>
      <w:tr>
        <w:tc>
          <w:tcPr/>
          <w:p>
            <w:pPr>
              <w:pStyle w:val="Compact"/>
              <w:jc w:val="left"/>
            </w:pPr>
            <w:r>
              <w:rPr>
                <w:bCs/>
                <w:b/>
              </w:rPr>
              <w:t xml:space="preserve">Contact Person:</w:t>
            </w:r>
            <w:r>
              <w:br/>
            </w:r>
            <w:r>
              <w:t xml:space="preserve">Mr. Tan Wei Ming – Procurement Manager</w:t>
            </w:r>
          </w:p>
        </w:tc>
        <w:tc>
          <w:tcPr/>
          <w:p>
            <w:pPr>
              <w:pStyle w:val="Compact"/>
              <w:jc w:val="left"/>
            </w:pPr>
            <w:r>
              <w:rPr>
                <w:bCs/>
                <w:b/>
              </w:rPr>
              <w:t xml:space="preserve">Email / Phone:</w:t>
            </w:r>
            <w:r>
              <w:br/>
            </w:r>
            <w:r>
              <w:t xml:space="preserve">procurement@meridianproperties.my</w:t>
            </w:r>
            <w:r>
              <w:br/>
            </w:r>
            <w:r>
              <w:t xml:space="preserve">+60 3-2181 4455</w:t>
            </w:r>
          </w:p>
        </w:tc>
      </w:tr>
      <w:tr>
        <w:tc>
          <w:tcPr/>
          <w:p>
            <w:pPr>
              <w:pStyle w:val="Compact"/>
              <w:jc w:val="left"/>
            </w:pPr>
            <w:r>
              <w:rPr>
                <w:bCs/>
                <w:b/>
              </w:rPr>
              <w:t xml:space="preserve">Company Registration No.:</w:t>
            </w:r>
            <w:r>
              <w:br/>
            </w:r>
            <w:r>
              <w:t xml:space="preserve">201901045678 (1234567-A)</w:t>
            </w:r>
          </w:p>
        </w:tc>
        <w:tc>
          <w:tcPr/>
          <w:p>
            <w:pPr>
              <w:pStyle w:val="Compact"/>
              <w:jc w:val="left"/>
            </w:pPr>
            <w:r>
              <w:rPr>
                <w:bCs/>
                <w:b/>
              </w:rPr>
              <w:t xml:space="preserve">SSM Registration:</w:t>
            </w:r>
            <w:r>
              <w:br/>
            </w:r>
            <w:r>
              <w:t xml:space="preserve">Registered under Companies Act 2016, Malaysia</w:t>
            </w:r>
          </w:p>
        </w:tc>
      </w:tr>
    </w:tbl>
    <w:p>
      <w:pPr>
        <w:pStyle w:val="BodyText"/>
      </w:pPr>
      <w:r>
        <w:t xml:space="preserve">2. SUPPLIER / CONTRACTOR INFORMATION</w:t>
      </w:r>
    </w:p>
    <w:tbl>
      <w:tblPr>
        <w:tblStyle w:val="Table"/>
        <w:tblW w:type="pct" w:w="5000"/>
        <w:tblLook w:firstRow="0" w:lastRow="0" w:firstColumn="0" w:lastColumn="0" w:noHBand="0" w:noVBand="0" w:val="0000"/>
      </w:tblPr>
      <w:tblGrid>
        <w:gridCol w:w="3960"/>
        <w:gridCol w:w="3960"/>
      </w:tblGrid>
      <w:tr>
        <w:tc>
          <w:tcPr/>
          <w:p>
            <w:pPr>
              <w:pStyle w:val="Compact"/>
              <w:jc w:val="left"/>
            </w:pPr>
            <w:r>
              <w:rPr>
                <w:bCs/>
                <w:b/>
              </w:rPr>
              <w:t xml:space="preserve">Company Name:</w:t>
            </w:r>
            <w:r>
              <w:br/>
            </w:r>
            <w:r>
              <w:t xml:space="preserve">KL Volt &amp; Current Electrical Services Sdn. Bhd.</w:t>
            </w:r>
          </w:p>
        </w:tc>
        <w:tc>
          <w:tcPr/>
          <w:p>
            <w:pPr>
              <w:pStyle w:val="Compact"/>
              <w:jc w:val="left"/>
            </w:pPr>
            <w:r>
              <w:rPr>
                <w:bCs/>
                <w:b/>
              </w:rPr>
              <w:t xml:space="preserve">Address:</w:t>
            </w:r>
            <w:r>
              <w:br/>
            </w:r>
            <w:r>
              <w:t xml:space="preserve">Unit 8-3, Jalan Ampang, 50450 Kuala Lumpur,</w:t>
            </w:r>
            <w:r>
              <w:br/>
            </w:r>
            <w:r>
              <w:t xml:space="preserve">Wilayah Persekutuan Kuala Lumpur, Malaysia</w:t>
            </w:r>
          </w:p>
        </w:tc>
      </w:tr>
      <w:tr>
        <w:tc>
          <w:tcPr/>
          <w:p>
            <w:pPr>
              <w:pStyle w:val="Compact"/>
              <w:jc w:val="left"/>
            </w:pPr>
            <w:r>
              <w:rPr>
                <w:bCs/>
                <w:b/>
              </w:rPr>
              <w:t xml:space="preserve">Contact Person:</w:t>
            </w:r>
            <w:r>
              <w:br/>
            </w:r>
            <w:r>
              <w:t xml:space="preserve">En. Rajesh Kumar – Chief Electrician &amp; Operations Director</w:t>
            </w:r>
          </w:p>
        </w:tc>
        <w:tc>
          <w:tcPr/>
          <w:p>
            <w:pPr>
              <w:pStyle w:val="Compact"/>
              <w:jc w:val="left"/>
            </w:pPr>
            <w:r>
              <w:rPr>
                <w:bCs/>
                <w:b/>
              </w:rPr>
              <w:t xml:space="preserve">Email / Phone:</w:t>
            </w:r>
            <w:r>
              <w:br/>
            </w:r>
            <w:r>
              <w:t xml:space="preserve">ops@klvoltcurrent.my</w:t>
            </w:r>
            <w:r>
              <w:br/>
            </w:r>
            <w:r>
              <w:t xml:space="preserve">+60 3-4257 8890</w:t>
            </w:r>
          </w:p>
        </w:tc>
      </w:tr>
      <w:tr>
        <w:tc>
          <w:tcPr/>
          <w:p>
            <w:pPr>
              <w:pStyle w:val="Compact"/>
              <w:jc w:val="left"/>
            </w:pPr>
            <w:r>
              <w:rPr>
                <w:bCs/>
                <w:b/>
              </w:rPr>
              <w:t xml:space="preserve">Company Registration No.:</w:t>
            </w:r>
            <w:r>
              <w:br/>
            </w:r>
            <w:r>
              <w:t xml:space="preserve">201501078901 (9876543-A)</w:t>
            </w:r>
          </w:p>
        </w:tc>
        <w:tc>
          <w:tcPr/>
          <w:p>
            <w:pPr>
              <w:pStyle w:val="Compact"/>
              <w:jc w:val="left"/>
            </w:pPr>
            <w:r>
              <w:rPr>
                <w:bCs/>
                <w:b/>
              </w:rPr>
              <w:t xml:space="preserve">Electrician License No.:</w:t>
            </w:r>
            <w:r>
              <w:br/>
            </w:r>
            <w:r>
              <w:t xml:space="preserve">EL-2024-KL-00342 (Issued by Jabatan Kerja Raya, Malaysia)</w:t>
            </w:r>
          </w:p>
        </w:tc>
      </w:tr>
    </w:tbl>
    <w:p>
      <w:pPr>
        <w:pStyle w:val="BodyText"/>
      </w:pPr>
      <w:r>
        <w:t xml:space="preserve">3. SCOPE OF WORK – ELECTRICIAN SERVICES</w:t>
      </w:r>
    </w:p>
    <w:p>
      <w:pPr>
        <w:pStyle w:val="BodyText"/>
      </w:pPr>
      <w:r>
        <w:t xml:space="preserve">This Purchase Order is issued by Meridian Commercial Properties Sdn. Bhd. to KL Volt &amp; Current Electrical Services Sdn. Bhd. for the provision of a licensed</w:t>
      </w:r>
      <w:r>
        <w:t xml:space="preserve"> </w:t>
      </w:r>
      <w:r>
        <w:t xml:space="preserve">Electrician</w:t>
      </w:r>
      <w:r>
        <w:t xml:space="preserve"> </w:t>
      </w:r>
      <w:r>
        <w:t xml:space="preserve">and a team of qualified electrical technicians to carry out comprehensive electrical installation, maintenance, and remedial works at the buyer's commercial premises located in</w:t>
      </w:r>
      <w:r>
        <w:t xml:space="preserve"> </w:t>
      </w:r>
      <w:r>
        <w:t xml:space="preserve">Malaysia Kuala Lumpur</w:t>
      </w:r>
      <w:r>
        <w:t xml:space="preserve">. The</w:t>
      </w:r>
      <w:r>
        <w:t xml:space="preserve"> </w:t>
      </w:r>
      <w:r>
        <w:t xml:space="preserve">Electrician</w:t>
      </w:r>
      <w:r>
        <w:t xml:space="preserve"> </w:t>
      </w:r>
      <w:r>
        <w:t xml:space="preserve">contractor shall ensure all works comply with the Malaysian Electricity Regulations 1994, the Uniform Building By-Laws (UBBL), and the standards set forth by Tenaga Nasional Berhad (TNB) and the Department of Energy (Jabatan Tenaga).</w:t>
      </w:r>
    </w:p>
    <w:p>
      <w:pPr>
        <w:pStyle w:val="BodyText"/>
      </w:pPr>
      <w:r>
        <w:t xml:space="preserve">4.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Electrician Services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(MYR)</w:t>
            </w:r>
          </w:p>
        </w:tc>
        <w:tc>
          <w:tcPr/>
          <w:p>
            <w:pPr>
              <w:pStyle w:val="Compact"/>
              <w:jc w:val="left"/>
            </w:pPr>
            <w:r>
              <w:t xml:space="preserve">Amount (MYR)</w:t>
            </w:r>
          </w:p>
        </w:tc>
      </w:tr>
      <w:tr>
        <w:tc>
          <w:tcPr/>
          <w:p>
            <w:pPr>
              <w:pStyle w:val="Compact"/>
              <w:jc w:val="left"/>
            </w:pPr>
            <w:r>
              <w:t xml:space="preserve">1</w:t>
            </w:r>
          </w:p>
        </w:tc>
        <w:tc>
          <w:tcPr/>
          <w:p>
            <w:pPr>
              <w:pStyle w:val="Compact"/>
              <w:jc w:val="left"/>
            </w:pPr>
            <w:r>
              <w:t xml:space="preserve">Full electrical inspection and condition assessment of all floors (Levels 1–5) of the commercial building in Malaysia Kuala Lumpur, including load calculation and compliance audit by a certified Electrician</w:t>
            </w:r>
          </w:p>
        </w:tc>
        <w:tc>
          <w:tcPr/>
          <w:p>
            <w:pPr>
              <w:pStyle w:val="Compact"/>
              <w:jc w:val="left"/>
            </w:pPr>
            <w:r>
              <w:t xml:space="preserve">1</w:t>
            </w:r>
          </w:p>
        </w:tc>
        <w:tc>
          <w:tcPr/>
          <w:p>
            <w:pPr>
              <w:pStyle w:val="Compact"/>
              <w:jc w:val="left"/>
            </w:pPr>
            <w:r>
              <w:t xml:space="preserve">Lot</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2</w:t>
            </w:r>
          </w:p>
        </w:tc>
        <w:tc>
          <w:tcPr/>
          <w:p>
            <w:pPr>
              <w:pStyle w:val="Compact"/>
              <w:jc w:val="left"/>
            </w:pPr>
            <w:r>
              <w:t xml:space="preserve">Replacement of 120 outdated circuit breakers and installation of new MCBs (32A, 63A, 100A) in the main distribution board room, performed by the licensed Electrician team</w:t>
            </w:r>
          </w:p>
        </w:tc>
        <w:tc>
          <w:tcPr/>
          <w:p>
            <w:pPr>
              <w:pStyle w:val="Compact"/>
              <w:jc w:val="left"/>
            </w:pPr>
            <w:r>
              <w:t xml:space="preserve">120</w:t>
            </w:r>
          </w:p>
        </w:tc>
        <w:tc>
          <w:tcPr/>
          <w:p>
            <w:pPr>
              <w:pStyle w:val="Compact"/>
              <w:jc w:val="left"/>
            </w:pPr>
            <w:r>
              <w:t xml:space="preserve">Units</w:t>
            </w:r>
          </w:p>
        </w:tc>
        <w:tc>
          <w:tcPr/>
          <w:p>
            <w:pPr>
              <w:pStyle w:val="Compact"/>
              <w:jc w:val="left"/>
            </w:pPr>
            <w:r>
              <w:t xml:space="preserve">85.00</w:t>
            </w:r>
          </w:p>
        </w:tc>
        <w:tc>
          <w:tcPr/>
          <w:p>
            <w:pPr>
              <w:pStyle w:val="Compact"/>
              <w:jc w:val="left"/>
            </w:pPr>
            <w:r>
              <w:t xml:space="preserve">10,200.00</w:t>
            </w:r>
          </w:p>
        </w:tc>
      </w:tr>
      <w:tr>
        <w:tc>
          <w:tcPr/>
          <w:p>
            <w:pPr>
              <w:pStyle w:val="Compact"/>
              <w:jc w:val="left"/>
            </w:pPr>
            <w:r>
              <w:t xml:space="preserve">3</w:t>
            </w:r>
          </w:p>
        </w:tc>
        <w:tc>
          <w:tcPr/>
          <w:p>
            <w:pPr>
              <w:pStyle w:val="Compact"/>
              <w:jc w:val="left"/>
            </w:pPr>
            <w:r>
              <w:t xml:space="preserve">Installation of 350 new LED high-bay lighting fixtures (150W) with dedicated wiring, conduits, and junction boxes across the warehouse floor in Malaysia Kuala Lumpur</w:t>
            </w:r>
          </w:p>
        </w:tc>
        <w:tc>
          <w:tcPr/>
          <w:p>
            <w:pPr>
              <w:pStyle w:val="Compact"/>
              <w:jc w:val="left"/>
            </w:pPr>
            <w:r>
              <w:t xml:space="preserve">350</w:t>
            </w:r>
          </w:p>
        </w:tc>
        <w:tc>
          <w:tcPr/>
          <w:p>
            <w:pPr>
              <w:pStyle w:val="Compact"/>
              <w:jc w:val="left"/>
            </w:pPr>
            <w:r>
              <w:t xml:space="preserve">Units</w:t>
            </w:r>
          </w:p>
        </w:tc>
        <w:tc>
          <w:tcPr/>
          <w:p>
            <w:pPr>
              <w:pStyle w:val="Compact"/>
              <w:jc w:val="left"/>
            </w:pPr>
            <w:r>
              <w:t xml:space="preserve">220.00</w:t>
            </w:r>
          </w:p>
        </w:tc>
        <w:tc>
          <w:tcPr/>
          <w:p>
            <w:pPr>
              <w:pStyle w:val="Compact"/>
              <w:jc w:val="left"/>
            </w:pPr>
            <w:r>
              <w:t xml:space="preserve">77,000.00</w:t>
            </w:r>
          </w:p>
        </w:tc>
      </w:tr>
      <w:tr>
        <w:tc>
          <w:tcPr/>
          <w:p>
            <w:pPr>
              <w:pStyle w:val="Compact"/>
              <w:jc w:val="left"/>
            </w:pPr>
            <w:r>
              <w:t xml:space="preserve">4</w:t>
            </w:r>
          </w:p>
        </w:tc>
        <w:tc>
          <w:tcPr/>
          <w:p>
            <w:pPr>
              <w:pStyle w:val="Compact"/>
              <w:jc w:val="left"/>
            </w:pPr>
            <w:r>
              <w:t xml:space="preserve">Upgrading of the main TNB service intake from 3-phase 200A to 3-phase 400A, including coordination with Tenaga Nasional Berhad for connection approval in Kuala Lumpur</w:t>
            </w:r>
          </w:p>
        </w:tc>
        <w:tc>
          <w:tcPr/>
          <w:p>
            <w:pPr>
              <w:pStyle w:val="Compact"/>
              <w:jc w:val="left"/>
            </w:pPr>
            <w:r>
              <w:t xml:space="preserve">1</w:t>
            </w:r>
          </w:p>
        </w:tc>
        <w:tc>
          <w:tcPr/>
          <w:p>
            <w:pPr>
              <w:pStyle w:val="Compact"/>
              <w:jc w:val="left"/>
            </w:pPr>
            <w:r>
              <w:t xml:space="preserve">Lot</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5</w:t>
            </w:r>
          </w:p>
        </w:tc>
        <w:tc>
          <w:tcPr/>
          <w:p>
            <w:pPr>
              <w:pStyle w:val="Compact"/>
              <w:jc w:val="left"/>
            </w:pPr>
            <w:r>
              <w:t xml:space="preserve">Installation of a 200 kVA standby diesel generator with automatic changeover switch (ATS), complete with fuel tank, exhaust system, and sound attenuation, commissioned by the Electrician contractor</w:t>
            </w:r>
          </w:p>
        </w:tc>
        <w:tc>
          <w:tcPr/>
          <w:p>
            <w:pPr>
              <w:pStyle w:val="Compact"/>
              <w:jc w:val="left"/>
            </w:pPr>
            <w:r>
              <w:t xml:space="preserve">1</w:t>
            </w:r>
          </w:p>
        </w:tc>
        <w:tc>
          <w:tcPr/>
          <w:p>
            <w:pPr>
              <w:pStyle w:val="Compact"/>
              <w:jc w:val="left"/>
            </w:pPr>
            <w:r>
              <w:t xml:space="preserve">Lot</w:t>
            </w:r>
          </w:p>
        </w:tc>
        <w:tc>
          <w:tcPr/>
          <w:p>
            <w:pPr>
              <w:pStyle w:val="Compact"/>
              <w:jc w:val="left"/>
            </w:pPr>
            <w:r>
              <w:t xml:space="preserve">95,000.00</w:t>
            </w:r>
          </w:p>
        </w:tc>
        <w:tc>
          <w:tcPr/>
          <w:p>
            <w:pPr>
              <w:pStyle w:val="Compact"/>
              <w:jc w:val="left"/>
            </w:pPr>
            <w:r>
              <w:t xml:space="preserve">95,000.00</w:t>
            </w:r>
          </w:p>
        </w:tc>
      </w:tr>
      <w:tr>
        <w:tc>
          <w:tcPr/>
          <w:p>
            <w:pPr>
              <w:pStyle w:val="Compact"/>
              <w:jc w:val="left"/>
            </w:pPr>
            <w:r>
              <w:t xml:space="preserve">6</w:t>
            </w:r>
          </w:p>
        </w:tc>
        <w:tc>
          <w:tcPr/>
          <w:p>
            <w:pPr>
              <w:pStyle w:val="Compact"/>
              <w:jc w:val="left"/>
            </w:pPr>
            <w:r>
              <w:t xml:space="preserve">Earthing and lightning protection system upgrade for the entire building structure in Malaysia Kuala Lumpur, including earth resistance testing (target &lt; 1 ohm) and certification</w:t>
            </w:r>
          </w:p>
        </w:tc>
        <w:tc>
          <w:tcPr/>
          <w:p>
            <w:pPr>
              <w:pStyle w:val="Compact"/>
              <w:jc w:val="left"/>
            </w:pPr>
            <w:r>
              <w:t xml:space="preserve">1</w:t>
            </w:r>
          </w:p>
        </w:tc>
        <w:tc>
          <w:tcPr/>
          <w:p>
            <w:pPr>
              <w:pStyle w:val="Compact"/>
              <w:jc w:val="left"/>
            </w:pPr>
            <w:r>
              <w:t xml:space="preserve">Lot</w:t>
            </w:r>
          </w:p>
        </w:tc>
        <w:tc>
          <w:tcPr/>
          <w:p>
            <w:pPr>
              <w:pStyle w:val="Compact"/>
              <w:jc w:val="left"/>
            </w:pPr>
            <w:r>
              <w:t xml:space="preserve">12,800.00</w:t>
            </w:r>
          </w:p>
        </w:tc>
        <w:tc>
          <w:tcPr/>
          <w:p>
            <w:pPr>
              <w:pStyle w:val="Compact"/>
              <w:jc w:val="left"/>
            </w:pPr>
            <w:r>
              <w:t xml:space="preserve">12,800.00</w:t>
            </w:r>
          </w:p>
        </w:tc>
      </w:tr>
      <w:tr>
        <w:tc>
          <w:tcPr/>
          <w:p>
            <w:pPr>
              <w:pStyle w:val="Compact"/>
              <w:jc w:val="left"/>
            </w:pPr>
            <w:r>
              <w:t xml:space="preserve">7</w:t>
            </w:r>
          </w:p>
        </w:tc>
        <w:tc>
          <w:tcPr/>
          <w:p>
            <w:pPr>
              <w:pStyle w:val="Compact"/>
              <w:jc w:val="left"/>
            </w:pPr>
            <w:r>
              <w:t xml:space="preserve">Installation of 85 new 16A and 32A power outlets, data-ready conduits, and emergency lighting units across all office floors, executed by the Electrician team</w:t>
            </w:r>
          </w:p>
        </w:tc>
        <w:tc>
          <w:tcPr/>
          <w:p>
            <w:pPr>
              <w:pStyle w:val="Compact"/>
              <w:jc w:val="left"/>
            </w:pPr>
            <w:r>
              <w:t xml:space="preserve">85</w:t>
            </w:r>
          </w:p>
        </w:tc>
        <w:tc>
          <w:tcPr/>
          <w:p>
            <w:pPr>
              <w:pStyle w:val="Compact"/>
              <w:jc w:val="left"/>
            </w:pPr>
            <w:r>
              <w:t xml:space="preserve">Units</w:t>
            </w:r>
          </w:p>
        </w:tc>
        <w:tc>
          <w:tcPr/>
          <w:p>
            <w:pPr>
              <w:pStyle w:val="Compact"/>
              <w:jc w:val="left"/>
            </w:pPr>
            <w:r>
              <w:t xml:space="preserve">310.00</w:t>
            </w:r>
          </w:p>
        </w:tc>
        <w:tc>
          <w:tcPr/>
          <w:p>
            <w:pPr>
              <w:pStyle w:val="Compact"/>
              <w:jc w:val="left"/>
            </w:pPr>
            <w:r>
              <w:t xml:space="preserve">26,350.00</w:t>
            </w:r>
          </w:p>
        </w:tc>
      </w:tr>
      <w:tr>
        <w:tc>
          <w:tcPr/>
          <w:p>
            <w:pPr>
              <w:pStyle w:val="Compact"/>
              <w:jc w:val="left"/>
            </w:pPr>
            <w:r>
              <w:t xml:space="preserve">8</w:t>
            </w:r>
          </w:p>
        </w:tc>
        <w:tc>
          <w:tcPr/>
          <w:p>
            <w:pPr>
              <w:pStyle w:val="Compact"/>
              <w:jc w:val="left"/>
            </w:pPr>
            <w:r>
              <w:t xml:space="preserve">Comprehensive thermal imaging scan and infrared inspection of all electrical panels, switchgear, and cable runs by a senior Electrician, with a detailed written report</w:t>
            </w:r>
          </w:p>
        </w:tc>
        <w:tc>
          <w:tcPr/>
          <w:p>
            <w:pPr>
              <w:pStyle w:val="Compact"/>
              <w:jc w:val="left"/>
            </w:pPr>
            <w:r>
              <w:t xml:space="preserve">1</w:t>
            </w:r>
          </w:p>
        </w:tc>
        <w:tc>
          <w:tcPr/>
          <w:p>
            <w:pPr>
              <w:pStyle w:val="Compact"/>
              <w:jc w:val="left"/>
            </w:pPr>
            <w:r>
              <w:t xml:space="preserve">Lot</w:t>
            </w:r>
          </w:p>
        </w:tc>
        <w:tc>
          <w:tcPr/>
          <w:p>
            <w:pPr>
              <w:pStyle w:val="Compact"/>
              <w:jc w:val="left"/>
            </w:pPr>
            <w:r>
              <w:t xml:space="preserve">6,200.00</w:t>
            </w:r>
          </w:p>
        </w:tc>
        <w:tc>
          <w:tcPr/>
          <w:p>
            <w:pPr>
              <w:pStyle w:val="Compact"/>
              <w:jc w:val="left"/>
            </w:pPr>
            <w:r>
              <w:t xml:space="preserve">6,200.00</w:t>
            </w:r>
          </w:p>
        </w:tc>
      </w:tr>
      <w:tr>
        <w:tc>
          <w:tcPr/>
          <w:p>
            <w:pPr>
              <w:pStyle w:val="Compact"/>
              <w:jc w:val="left"/>
            </w:pPr>
            <w:r>
              <w:t xml:space="preserve">9</w:t>
            </w:r>
          </w:p>
        </w:tc>
        <w:tc>
          <w:tcPr/>
          <w:p>
            <w:pPr>
              <w:pStyle w:val="Compact"/>
              <w:jc w:val="left"/>
            </w:pPr>
            <w:r>
              <w:t xml:space="preserve">Provision of 12-month preventive maintenance contract for all electrical systems, including quarterly visits by the Electrician, annual TNB compliance inspection, and 24/7 emergency callout service in Malaysia Kuala Lumpur</w:t>
            </w:r>
          </w:p>
        </w:tc>
        <w:tc>
          <w:tcPr/>
          <w:p>
            <w:pPr>
              <w:pStyle w:val="Compact"/>
              <w:jc w:val="left"/>
            </w:pPr>
            <w:r>
              <w:t xml:space="preserve">1</w:t>
            </w:r>
          </w:p>
        </w:tc>
        <w:tc>
          <w:tcPr/>
          <w:p>
            <w:pPr>
              <w:pStyle w:val="Compact"/>
              <w:jc w:val="left"/>
            </w:pPr>
            <w:r>
              <w:t xml:space="preserve">Year</w:t>
            </w:r>
          </w:p>
        </w:tc>
        <w:tc>
          <w:tcPr/>
          <w:p>
            <w:pPr>
              <w:pStyle w:val="Compact"/>
              <w:jc w:val="left"/>
            </w:pPr>
            <w:r>
              <w:t xml:space="preserve">24,000.00</w:t>
            </w:r>
          </w:p>
        </w:tc>
        <w:tc>
          <w:tcPr/>
          <w:p>
            <w:pPr>
              <w:pStyle w:val="Compact"/>
              <w:jc w:val="left"/>
            </w:pPr>
            <w:r>
              <w:t xml:space="preserve">24,000.00</w:t>
            </w:r>
          </w:p>
        </w:tc>
      </w:tr>
      <w:tr>
        <w:tc>
          <w:tcPr>
            <w:gridSpan w:val="5"/>
          </w:tcPr>
          <w:p>
            <w:pPr>
              <w:pStyle w:val="Compact"/>
              <w:jc w:val="right"/>
            </w:pPr>
            <w:r>
              <w:t xml:space="preserve">SUBTOTAL</w:t>
            </w:r>
          </w:p>
        </w:tc>
        <w:tc>
          <w:tcPr/>
          <w:p>
            <w:pPr>
              <w:pStyle w:val="Compact"/>
              <w:jc w:val="left"/>
            </w:pPr>
            <w:r>
              <w:t xml:space="preserve">MYR 274,550.00</w:t>
            </w:r>
          </w:p>
        </w:tc>
      </w:tr>
      <w:tr>
        <w:tc>
          <w:tcPr>
            <w:gridSpan w:val="5"/>
          </w:tcPr>
          <w:p>
            <w:pPr>
              <w:pStyle w:val="Compact"/>
              <w:jc w:val="right"/>
            </w:pPr>
            <w:r>
              <w:t xml:space="preserve">Sales and Service Tax (SST) @ 8%</w:t>
            </w:r>
          </w:p>
        </w:tc>
        <w:tc>
          <w:tcPr/>
          <w:p>
            <w:pPr>
              <w:pStyle w:val="Compact"/>
              <w:jc w:val="left"/>
            </w:pPr>
            <w:r>
              <w:t xml:space="preserve">MYR 21,964.00</w:t>
            </w:r>
          </w:p>
        </w:tc>
      </w:tr>
      <w:tr>
        <w:tc>
          <w:tcPr>
            <w:gridSpan w:val="5"/>
          </w:tcPr>
          <w:p>
            <w:pPr>
              <w:pStyle w:val="Compact"/>
              <w:jc w:val="right"/>
            </w:pPr>
            <w:r>
              <w:t xml:space="preserve">GRAND TOTAL (MYR)</w:t>
            </w:r>
          </w:p>
        </w:tc>
        <w:tc>
          <w:tcPr/>
          <w:p>
            <w:pPr>
              <w:pStyle w:val="Compact"/>
              <w:jc w:val="left"/>
            </w:pPr>
            <w:r>
              <w:t xml:space="preserve">MYR 296,514.00</w:t>
            </w:r>
          </w:p>
        </w:tc>
      </w:tr>
    </w:tbl>
    <w:p>
      <w:pPr>
        <w:pStyle w:val="BodyText"/>
      </w:pPr>
      <w:r>
        <w:t xml:space="preserve">5. TERMS AND CONDITIONS</w:t>
      </w:r>
    </w:p>
    <w:p>
      <w:pPr>
        <w:numPr>
          <w:ilvl w:val="0"/>
          <w:numId w:val="1001"/>
        </w:numPr>
        <w:pStyle w:val="Compact"/>
      </w:pPr>
      <w:r>
        <w:t xml:space="preserve">This Purchase Order is governed by the laws of Malaysia and shall be construed in accordance with the Contract Act 1950 of Malaysia.</w:t>
      </w:r>
    </w:p>
    <w:p>
      <w:pPr>
        <w:numPr>
          <w:ilvl w:val="0"/>
          <w:numId w:val="1001"/>
        </w:numPr>
        <w:pStyle w:val="Compact"/>
      </w:pPr>
      <w:r>
        <w:t xml:space="preserve">The Electrician contractor shall hold a valid electrical contractor's license issued by the relevant Malaysian authority and shall maintain comprehensive public liability insurance of not less than MYR 5,000,000 for the duration of the project.</w:t>
      </w:r>
    </w:p>
    <w:p>
      <w:pPr>
        <w:numPr>
          <w:ilvl w:val="0"/>
          <w:numId w:val="1001"/>
        </w:numPr>
        <w:pStyle w:val="Compact"/>
      </w:pPr>
      <w:r>
        <w:t xml:space="preserve">All works shall be performed in strict compliance with the Malaysian Electricity Regulations 1994, the Electricity Supply Act 1990, and all applicable by-laws of the Kuala Lumpur City Hall (DBKL).</w:t>
      </w:r>
    </w:p>
    <w:p>
      <w:pPr>
        <w:numPr>
          <w:ilvl w:val="0"/>
          <w:numId w:val="1001"/>
        </w:numPr>
        <w:pStyle w:val="Compact"/>
      </w:pPr>
      <w:r>
        <w:t xml:space="preserve">The Electrician and all personnel deployed on-site in Malaysia Kuala Lumpur shall comply with the Occupational Safety and Health Act 1994 (OSHA) and wear appropriate personal protective equipment (PPE) at all times.</w:t>
      </w:r>
    </w:p>
    <w:p>
      <w:pPr>
        <w:numPr>
          <w:ilvl w:val="0"/>
          <w:numId w:val="1001"/>
        </w:numPr>
        <w:pStyle w:val="Compact"/>
      </w:pPr>
      <w:r>
        <w:t xml:space="preserve">Payment shall be made within thirty (30) calendar days from the date of a valid tax invoice issued by the Electrician contractor, via bank transfer to the account specified on the invoice.</w:t>
      </w:r>
    </w:p>
    <w:p>
      <w:pPr>
        <w:numPr>
          <w:ilvl w:val="0"/>
          <w:numId w:val="1001"/>
        </w:numPr>
        <w:pStyle w:val="Compact"/>
      </w:pPr>
      <w:r>
        <w:t xml:space="preserve">The project commencement date shall be 1 July 2025, and all installation works shall be completed no later than 30 September 2025, unless otherwise agreed in writing.</w:t>
      </w:r>
    </w:p>
    <w:p>
      <w:pPr>
        <w:numPr>
          <w:ilvl w:val="0"/>
          <w:numId w:val="1001"/>
        </w:numPr>
        <w:pStyle w:val="Compact"/>
      </w:pPr>
      <w:r>
        <w:t xml:space="preserve">All materials and equipment supplied by the Electrician contractor shall be new, of genuine manufacturer origin, and carry a minimum warranty of two (2) years from the date of commissioning.</w:t>
      </w:r>
    </w:p>
    <w:p>
      <w:pPr>
        <w:numPr>
          <w:ilvl w:val="0"/>
          <w:numId w:val="1001"/>
        </w:numPr>
        <w:pStyle w:val="Compact"/>
      </w:pPr>
      <w:r>
        <w:t xml:space="preserve">The Electrician contractor shall obtain all necessary permits, approvals, and TNB connection clearances required for the works in Malaysia Kuala Lumpur at no additional cost to the buyer.</w:t>
      </w:r>
    </w:p>
    <w:p>
      <w:pPr>
        <w:numPr>
          <w:ilvl w:val="0"/>
          <w:numId w:val="1001"/>
        </w:numPr>
        <w:pStyle w:val="Compact"/>
      </w:pPr>
      <w:r>
        <w:t xml:space="preserve">Any variation or change order to the scope of this Purchase Order must be approved in writing by both parties before execution. Unauthorized variations shall not be compensated.</w:t>
      </w:r>
    </w:p>
    <w:p>
      <w:pPr>
        <w:numPr>
          <w:ilvl w:val="0"/>
          <w:numId w:val="1001"/>
        </w:numPr>
        <w:pStyle w:val="Compact"/>
      </w:pPr>
      <w:r>
        <w:t xml:space="preserve">In the event of a dispute, both parties shall first attempt to resolve the matter through amicable negotiation. Failing resolution within thirty (30) days, the dispute shall be referred to arbitration in Kuala Lumpur, Malaysia, in accordance with the Arbitration Act 2005.</w:t>
      </w:r>
    </w:p>
    <w:p>
      <w:pPr>
        <w:numPr>
          <w:ilvl w:val="0"/>
          <w:numId w:val="1001"/>
        </w:numPr>
        <w:pStyle w:val="Compact"/>
      </w:pPr>
      <w:r>
        <w:t xml:space="preserve">The Electrician contractor shall provide a comprehensive as-built drawing package, test certificates, and a 12-month warranty certificate upon project completion.</w:t>
      </w:r>
    </w:p>
    <w:p>
      <w:pPr>
        <w:pStyle w:val="FirstParagraph"/>
      </w:pPr>
      <w:r>
        <w:t xml:space="preserve">6. DELIVERY AND SITE ACCESS</w:t>
      </w:r>
    </w:p>
    <w:p>
      <w:pPr>
        <w:pStyle w:val="BodyText"/>
      </w:pPr>
      <w:r>
        <w:t xml:space="preserve">All materials, equipment, and the Electrician team shall be delivered to and work shall be conducted at the following site in</w:t>
      </w:r>
      <w:r>
        <w:t xml:space="preserve"> </w:t>
      </w:r>
      <w:r>
        <w:t xml:space="preserve">Malaysia Kuala Lumpur</w:t>
      </w:r>
      <w:r>
        <w:t xml:space="preserve">: Meridian Commercial Tower, Level 1–5, No. 88, Jalan Sultan Ismail, 50250 Kuala Lumpur, Wilayah Persekutuan Kuala Lumpur, Malaysia. Site access shall be available Monday to Friday, 8:00 AM to 6:00 PM, and Saturday 8:00 AM to 1:00 PM. The Electrician contractor shall coordinate with the building management office for entry permits and safety briefings prior to each work session.</w:t>
      </w:r>
    </w:p>
    <w:p>
      <w:pPr>
        <w:pStyle w:val="BodyText"/>
      </w:pPr>
      <w:r>
        <w:rPr>
          <w:bCs/>
          <w:b/>
        </w:rPr>
        <w:t xml:space="preserve">For and on behalf of the BUYER:</w:t>
      </w:r>
    </w:p>
    <w:p>
      <w:pPr>
        <w:pStyle w:val="BodyText"/>
      </w:pPr>
      <w:r>
        <w:t xml:space="preserve">Meridian Commercial Properties Sdn. Bhd.</w:t>
      </w:r>
    </w:p>
    <w:p>
      <w:pPr>
        <w:pStyle w:val="BodyText"/>
      </w:pPr>
      <w:r>
        <w:t xml:space="preserve">Name: Mr. Tan Wei Ming</w:t>
      </w:r>
      <w:r>
        <w:br/>
      </w:r>
      <w:r>
        <w:t xml:space="preserve">Designation: Procurement Manager</w:t>
      </w:r>
      <w:r>
        <w:br/>
      </w:r>
      <w:r>
        <w:t xml:space="preserve">Signature: _________________________</w:t>
      </w:r>
      <w:r>
        <w:br/>
      </w:r>
      <w:r>
        <w:t xml:space="preserve">Date: _________________________</w:t>
      </w:r>
    </w:p>
    <w:p>
      <w:pPr>
        <w:pStyle w:val="BodyText"/>
      </w:pPr>
      <w:r>
        <w:rPr>
          <w:bCs/>
          <w:b/>
        </w:rPr>
        <w:t xml:space="preserve">For and on behalf of the SUPPLIER / ELECTRICIAN CONTRACTOR:</w:t>
      </w:r>
    </w:p>
    <w:p>
      <w:pPr>
        <w:pStyle w:val="BodyText"/>
      </w:pPr>
      <w:r>
        <w:t xml:space="preserve">KL Volt &amp; Current Electrical Services Sdn. Bhd.</w:t>
      </w:r>
    </w:p>
    <w:p>
      <w:pPr>
        <w:pStyle w:val="BodyText"/>
      </w:pPr>
      <w:r>
        <w:t xml:space="preserve">Name: En. Rajesh Kumar</w:t>
      </w:r>
      <w:r>
        <w:br/>
      </w:r>
      <w:r>
        <w:t xml:space="preserve">Designation: Chief Electrician &amp; Operations Director</w:t>
      </w:r>
      <w:r>
        <w:br/>
      </w:r>
      <w:r>
        <w:t xml:space="preserve">Signature: _________________________</w:t>
      </w:r>
      <w:r>
        <w:br/>
      </w:r>
      <w:r>
        <w:t xml:space="preserve">Date: _________________________</w:t>
      </w:r>
    </w:p>
    <w:p>
      <w:pPr>
        <w:pStyle w:val="BodyText"/>
      </w:pPr>
      <w:r>
        <w:t xml:space="preserve">This Purchase Order (PO-KL-2025-04872) is a legally binding document upon signature by both parties. It is issued in the context of</w:t>
      </w:r>
      <w:r>
        <w:t xml:space="preserve"> </w:t>
      </w:r>
      <w:r>
        <w:t xml:space="preserve">Electrician</w:t>
      </w:r>
      <w:r>
        <w:t xml:space="preserve"> </w:t>
      </w:r>
      <w:r>
        <w:t xml:space="preserve">services procurement for commercial electrical works in</w:t>
      </w:r>
      <w:r>
        <w:t xml:space="preserve"> </w:t>
      </w:r>
      <w:r>
        <w:t xml:space="preserve">Malaysia Kuala Lumpur</w:t>
      </w:r>
      <w:r>
        <w:t xml:space="preserve">. All communications regarding this Purchase Order shall be directed to the contact persons listed above. This document is valid only when bearing the official company stamps and authorized signatures of both parties.</w:t>
      </w:r>
    </w:p>
    <w:p>
      <w:pPr>
        <w:pStyle w:val="BodyText"/>
      </w:pPr>
      <w:r>
        <w:t xml:space="preserve">© 2025 Meridian Commercial Properties Sdn. Bhd. | Purchase Order No. PO-KL-2025-04872 | Malaysia Kuala Lumpur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Electrician Services - Malaysia Kuala Lumpur</dc:title>
  <dc:creator/>
  <dc:language>en</dc:language>
  <cp:keywords/>
  <dcterms:created xsi:type="dcterms:W3CDTF">2026-10-10T07:05:52Z</dcterms:created>
  <dcterms:modified xsi:type="dcterms:W3CDTF">2026-10-10T07:05:52Z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