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Nigeria</w:t>
      </w:r>
      <w:r>
        <w:t xml:space="preserve"> </w:t>
      </w:r>
      <w:r>
        <w:t xml:space="preserve">Abuja</w:t>
      </w:r>
    </w:p>
    <w:bookmarkStart w:id="20" w:name="purchase-order"/>
    <w:p>
      <w:pPr>
        <w:pStyle w:val="Heading1"/>
      </w:pPr>
      <w:r>
        <w:t xml:space="preserve">PURCHASE ORDER</w:t>
      </w:r>
    </w:p>
    <w:p>
      <w:pPr>
        <w:pStyle w:val="FirstParagraph"/>
      </w:pPr>
      <w:r>
        <w:t xml:space="preserve">Professional Electrician Services — Nigeria Abuja</w:t>
      </w:r>
    </w:p>
    <w:p>
      <w:pPr>
        <w:pStyle w:val="BodyText"/>
      </w:pPr>
      <w:r>
        <w:t xml:space="preserve">Document Reference: PO/ABJ/2025/00472</w:t>
      </w:r>
    </w:p>
    <w:bookmarkEnd w:id="20"/>
    <w:p>
      <w:pPr>
        <w:pStyle w:val="BodyText"/>
      </w:pPr>
      <w:r>
        <w:rPr>
          <w:bCs/>
          <w:b/>
        </w:rPr>
        <w:t xml:space="preserve">Purchase Order No.:</w:t>
      </w:r>
      <w:r>
        <w:t xml:space="preserve"> </w:t>
      </w:r>
      <w:r>
        <w:t xml:space="preserve">PO/ABJ/2025/00472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Project Location:</w:t>
      </w:r>
      <w:r>
        <w:t xml:space="preserve"> </w:t>
      </w:r>
      <w:r>
        <w:t xml:space="preserve">Plot 42, Maitama District,</w:t>
      </w:r>
      <w:r>
        <w:br/>
      </w:r>
      <w:r>
        <w:t xml:space="preserve">Abuja, FCT, Nigeria</w:t>
      </w:r>
      <w:r>
        <w:br/>
      </w:r>
      <w:r>
        <w:rPr>
          <w:bCs/>
          <w:b/>
        </w:rPr>
        <w:t xml:space="preserve">Payment Terms:</w:t>
      </w:r>
      <w:r>
        <w:t xml:space="preserve"> </w:t>
      </w:r>
      <w:r>
        <w:t xml:space="preserve">30 Days Net</w:t>
      </w:r>
    </w:p>
    <w:p>
      <w:pPr>
        <w:pStyle w:val="BodyText"/>
      </w:pPr>
      <w:r>
        <w:t xml:space="preserve">1. Purchasing Entity (Buyer)</w:t>
      </w:r>
    </w:p>
    <w:p>
      <w:pPr>
        <w:pStyle w:val="BodyText"/>
      </w:pPr>
      <w:r>
        <w:rPr>
          <w:bCs/>
          <w:b/>
        </w:rPr>
        <w:t xml:space="preserve">Company Name:</w:t>
      </w:r>
      <w:r>
        <w:t xml:space="preserve"> </w:t>
      </w:r>
      <w:r>
        <w:t xml:space="preserve">Maitama Infrastructure &amp; Development Ltd.</w:t>
      </w:r>
      <w:r>
        <w:br/>
      </w:r>
      <w:r>
        <w:rPr>
          <w:bCs/>
          <w:b/>
        </w:rPr>
        <w:t xml:space="preserve">Address:</w:t>
      </w:r>
      <w:r>
        <w:t xml:space="preserve"> </w:t>
      </w:r>
      <w:r>
        <w:t xml:space="preserve">15, Aminu Kano Crescent, Wuse 2, Abuja, FCT, Nigeria</w:t>
      </w:r>
      <w:r>
        <w:br/>
      </w:r>
      <w:r>
        <w:rPr>
          <w:bCs/>
          <w:b/>
        </w:rPr>
        <w:t xml:space="preserve">RC Number:</w:t>
      </w:r>
      <w:r>
        <w:t xml:space="preserve"> </w:t>
      </w:r>
      <w:r>
        <w:t xml:space="preserve">RC/0876543</w:t>
      </w:r>
      <w:r>
        <w:br/>
      </w:r>
      <w:r>
        <w:rPr>
          <w:bCs/>
          <w:b/>
        </w:rPr>
        <w:t xml:space="preserve">Tax Identification Number (TIN):</w:t>
      </w:r>
      <w:r>
        <w:t xml:space="preserve"> </w:t>
      </w:r>
      <w:r>
        <w:t xml:space="preserve">12345678-0001</w:t>
      </w:r>
      <w:r>
        <w:br/>
      </w:r>
      <w:r>
        <w:rPr>
          <w:bCs/>
          <w:b/>
        </w:rPr>
        <w:t xml:space="preserve">Contact Person:</w:t>
      </w:r>
      <w:r>
        <w:t xml:space="preserve"> </w:t>
      </w:r>
      <w:r>
        <w:t xml:space="preserve">Mr. Chukwuma Okafor, Project Director</w:t>
      </w:r>
      <w:r>
        <w:br/>
      </w:r>
      <w:r>
        <w:rPr>
          <w:bCs/>
          <w:b/>
        </w:rPr>
        <w:t xml:space="preserve">Telephone:</w:t>
      </w:r>
      <w:r>
        <w:t xml:space="preserve"> </w:t>
      </w:r>
      <w:r>
        <w:t xml:space="preserve">+234 803 555 0192</w:t>
      </w:r>
      <w:r>
        <w:br/>
      </w:r>
      <w:r>
        <w:rPr>
          <w:bCs/>
          <w:b/>
        </w:rPr>
        <w:t xml:space="preserve">Email:</w:t>
      </w:r>
      <w:r>
        <w:t xml:space="preserve"> </w:t>
      </w:r>
      <w:r>
        <w:t xml:space="preserve">procurement@maitamainfra.ng</w:t>
      </w:r>
    </w:p>
    <w:p>
      <w:pPr>
        <w:pStyle w:val="BodyText"/>
      </w:pPr>
      <w:r>
        <w:t xml:space="preserve">2. Supplier / Contractor (Electrician)</w:t>
      </w:r>
    </w:p>
    <w:p>
      <w:pPr>
        <w:pStyle w:val="BodyText"/>
      </w:pPr>
      <w:r>
        <w:rPr>
          <w:bCs/>
          <w:b/>
        </w:rPr>
        <w:t xml:space="preserve">Business Name:</w:t>
      </w:r>
      <w:r>
        <w:t xml:space="preserve"> </w:t>
      </w:r>
      <w:r>
        <w:t xml:space="preserve">BrightVolt Electrical &amp; Engineering Services Ltd.</w:t>
      </w:r>
      <w:r>
        <w:br/>
      </w:r>
      <w:r>
        <w:rPr>
          <w:bCs/>
          <w:b/>
        </w:rPr>
        <w:t xml:space="preserve">Address:</w:t>
      </w:r>
      <w:r>
        <w:t xml:space="preserve"> </w:t>
      </w:r>
      <w:r>
        <w:t xml:space="preserve">7, Gana Street, Garki Area 1, Abuja, FCT, Nigeria</w:t>
      </w:r>
      <w:r>
        <w:br/>
      </w:r>
      <w:r>
        <w:rPr>
          <w:bCs/>
          <w:b/>
        </w:rPr>
        <w:t xml:space="preserve">RC Number:</w:t>
      </w:r>
      <w:r>
        <w:t xml:space="preserve"> </w:t>
      </w:r>
      <w:r>
        <w:t xml:space="preserve">RC/1123987</w:t>
      </w:r>
      <w:r>
        <w:br/>
      </w:r>
      <w:r>
        <w:rPr>
          <w:bCs/>
          <w:b/>
        </w:rPr>
        <w:t xml:space="preserve">TIN:</w:t>
      </w:r>
      <w:r>
        <w:t xml:space="preserve"> </w:t>
      </w:r>
      <w:r>
        <w:t xml:space="preserve">87654321-0001</w:t>
      </w:r>
      <w:r>
        <w:br/>
      </w:r>
      <w:r>
        <w:rPr>
          <w:bCs/>
          <w:b/>
        </w:rPr>
        <w:t xml:space="preserve">Lead Electrician:</w:t>
      </w:r>
      <w:r>
        <w:t xml:space="preserve"> </w:t>
      </w:r>
      <w:r>
        <w:t xml:space="preserve">Mr. Ibrahim Danjuma (Nigerian Institute of Electrical and Electronics Engineers — NIEE Registered, License No. NIEE/ABJ/2019/0342)</w:t>
      </w:r>
      <w:r>
        <w:br/>
      </w:r>
      <w:r>
        <w:rPr>
          <w:bCs/>
          <w:b/>
        </w:rPr>
        <w:t xml:space="preserve">Telephone:</w:t>
      </w:r>
      <w:r>
        <w:t xml:space="preserve"> </w:t>
      </w:r>
      <w:r>
        <w:t xml:space="preserve">+234 806 772 4451</w:t>
      </w:r>
      <w:r>
        <w:br/>
      </w:r>
      <w:r>
        <w:rPr>
          <w:bCs/>
          <w:b/>
        </w:rPr>
        <w:t xml:space="preserve">Email:</w:t>
      </w:r>
      <w:r>
        <w:t xml:space="preserve"> </w:t>
      </w:r>
      <w:r>
        <w:t xml:space="preserve">info@brightvolt.ng</w:t>
      </w:r>
    </w:p>
    <w:p>
      <w:pPr>
        <w:pStyle w:val="BodyText"/>
      </w:pPr>
      <w:r>
        <w:t xml:space="preserve">3. Scope of Work &amp; Line Items</w:t>
      </w:r>
    </w:p>
    <w:p>
      <w:pPr>
        <w:pStyle w:val="BodyText"/>
      </w:pPr>
      <w:r>
        <w:t xml:space="preserve">This Purchase Order is issued by Maitama Infrastructure &amp; Development Ltd. to BrightVolt Electrical &amp; Engineering Services Ltd. for the provision of qualified</w:t>
      </w:r>
      <w:r>
        <w:t xml:space="preserve"> </w:t>
      </w:r>
      <w:r>
        <w:t xml:space="preserve">Electrician</w:t>
      </w:r>
      <w:r>
        <w:t xml:space="preserve"> </w:t>
      </w:r>
      <w:r>
        <w:t xml:space="preserve">services, supply of materials, and installation of electrical infrastructure at the above-referenced project site in</w:t>
      </w:r>
      <w:r>
        <w:t xml:space="preserve"> </w:t>
      </w:r>
      <w:r>
        <w:t xml:space="preserve">Nigeria Abuja</w:t>
      </w:r>
      <w:r>
        <w:t xml:space="preserve">. The</w:t>
      </w:r>
      <w:r>
        <w:t xml:space="preserve"> </w:t>
      </w:r>
      <w:r>
        <w:t xml:space="preserve">Electrician</w:t>
      </w:r>
      <w:r>
        <w:t xml:space="preserve"> </w:t>
      </w:r>
      <w:r>
        <w:t xml:space="preserve">and all supporting technicians engaged under this Purchase Order shall comply with the Nigerian Electricity Regulatory Commission (NERC) standards, the Building and Engineering Services Board (BESB) regulations, and all applicable Federal Capital Territory (FCT) building codes.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w:t>
            </w:r>
          </w:p>
        </w:tc>
        <w:tc>
          <w:tcPr/>
          <w:p>
            <w:pPr>
              <w:pStyle w:val="Compact"/>
              <w:jc w:val="left"/>
            </w:pPr>
            <w:r>
              <w:t xml:space="preserve">Description of Work / Item</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(NGN)</w:t>
            </w:r>
          </w:p>
        </w:tc>
        <w:tc>
          <w:tcPr/>
          <w:p>
            <w:pPr>
              <w:pStyle w:val="Compact"/>
              <w:jc w:val="left"/>
            </w:pPr>
            <w:r>
              <w:t xml:space="preserve">Total (NGN)</w:t>
            </w:r>
          </w:p>
        </w:tc>
      </w:tr>
      <w:tr>
        <w:tc>
          <w:tcPr/>
          <w:p>
            <w:pPr>
              <w:pStyle w:val="Compact"/>
              <w:jc w:val="left"/>
            </w:pPr>
            <w:r>
              <w:t xml:space="preserve">1</w:t>
            </w:r>
          </w:p>
        </w:tc>
        <w:tc>
          <w:tcPr/>
          <w:p>
            <w:pPr>
              <w:pStyle w:val="Compact"/>
              <w:jc w:val="left"/>
            </w:pPr>
            <w:r>
              <w:t xml:space="preserve">Complete rewiring of a 6-bedroom duplex residence (approx. 450 sqm) including all conduits, junction boxes, and circuit breakers</w:t>
            </w:r>
          </w:p>
        </w:tc>
        <w:tc>
          <w:tcPr/>
          <w:p>
            <w:pPr>
              <w:pStyle w:val="Compact"/>
              <w:jc w:val="left"/>
            </w:pPr>
            <w:r>
              <w:t xml:space="preserve">1</w:t>
            </w:r>
          </w:p>
        </w:tc>
        <w:tc>
          <w:tcPr/>
          <w:p>
            <w:pPr>
              <w:pStyle w:val="Compact"/>
              <w:jc w:val="left"/>
            </w:pPr>
            <w:r>
              <w:t xml:space="preserve">Lot</w:t>
            </w:r>
          </w:p>
        </w:tc>
        <w:tc>
          <w:tcPr/>
          <w:p>
            <w:pPr>
              <w:pStyle w:val="Compact"/>
              <w:jc w:val="left"/>
            </w:pPr>
            <w:r>
              <w:t xml:space="preserve">2,850,000.00</w:t>
            </w:r>
          </w:p>
        </w:tc>
        <w:tc>
          <w:tcPr/>
          <w:p>
            <w:pPr>
              <w:pStyle w:val="Compact"/>
              <w:jc w:val="left"/>
            </w:pPr>
            <w:r>
              <w:t xml:space="preserve">2,850,000.00</w:t>
            </w:r>
          </w:p>
        </w:tc>
      </w:tr>
      <w:tr>
        <w:tc>
          <w:tcPr/>
          <w:p>
            <w:pPr>
              <w:pStyle w:val="Compact"/>
              <w:jc w:val="left"/>
            </w:pPr>
            <w:r>
              <w:t xml:space="preserve">2</w:t>
            </w:r>
          </w:p>
        </w:tc>
        <w:tc>
          <w:tcPr/>
          <w:p>
            <w:pPr>
              <w:pStyle w:val="Compact"/>
              <w:jc w:val="left"/>
            </w:pPr>
            <w:r>
              <w:t xml:space="preserve">Supply and installation of 250kVA three-phase transformer with associated switchgear and earthing system</w:t>
            </w:r>
          </w:p>
        </w:tc>
        <w:tc>
          <w:tcPr/>
          <w:p>
            <w:pPr>
              <w:pStyle w:val="Compact"/>
              <w:jc w:val="left"/>
            </w:pPr>
            <w:r>
              <w:t xml:space="preserve">1</w:t>
            </w:r>
          </w:p>
        </w:tc>
        <w:tc>
          <w:tcPr/>
          <w:p>
            <w:pPr>
              <w:pStyle w:val="Compact"/>
              <w:jc w:val="left"/>
            </w:pPr>
            <w:r>
              <w:t xml:space="preserve">Set</w:t>
            </w:r>
          </w:p>
        </w:tc>
        <w:tc>
          <w:tcPr/>
          <w:p>
            <w:pPr>
              <w:pStyle w:val="Compact"/>
              <w:jc w:val="left"/>
            </w:pPr>
            <w:r>
              <w:t xml:space="preserve">4,200,000.00</w:t>
            </w:r>
          </w:p>
        </w:tc>
        <w:tc>
          <w:tcPr/>
          <w:p>
            <w:pPr>
              <w:pStyle w:val="Compact"/>
              <w:jc w:val="left"/>
            </w:pPr>
            <w:r>
              <w:t xml:space="preserve">4,200,000.00</w:t>
            </w:r>
          </w:p>
        </w:tc>
      </w:tr>
      <w:tr>
        <w:tc>
          <w:tcPr/>
          <w:p>
            <w:pPr>
              <w:pStyle w:val="Compact"/>
              <w:jc w:val="left"/>
            </w:pPr>
            <w:r>
              <w:t xml:space="preserve">3</w:t>
            </w:r>
          </w:p>
        </w:tc>
        <w:tc>
          <w:tcPr/>
          <w:p>
            <w:pPr>
              <w:pStyle w:val="Compact"/>
              <w:jc w:val="left"/>
            </w:pPr>
            <w:r>
              <w:t xml:space="preserve">Installation of 120 LED lighting fixtures (indoor and outdoor) with dimmer switches and motion sensors</w:t>
            </w:r>
          </w:p>
        </w:tc>
        <w:tc>
          <w:tcPr/>
          <w:p>
            <w:pPr>
              <w:pStyle w:val="Compact"/>
              <w:jc w:val="left"/>
            </w:pPr>
            <w:r>
              <w:t xml:space="preserve">120</w:t>
            </w:r>
          </w:p>
        </w:tc>
        <w:tc>
          <w:tcPr/>
          <w:p>
            <w:pPr>
              <w:pStyle w:val="Compact"/>
              <w:jc w:val="left"/>
            </w:pPr>
            <w:r>
              <w:t xml:space="preserve">Units</w:t>
            </w:r>
          </w:p>
        </w:tc>
        <w:tc>
          <w:tcPr/>
          <w:p>
            <w:pPr>
              <w:pStyle w:val="Compact"/>
              <w:jc w:val="left"/>
            </w:pPr>
            <w:r>
              <w:t xml:space="preserve">18,500.00</w:t>
            </w:r>
          </w:p>
        </w:tc>
        <w:tc>
          <w:tcPr/>
          <w:p>
            <w:pPr>
              <w:pStyle w:val="Compact"/>
              <w:jc w:val="left"/>
            </w:pPr>
            <w:r>
              <w:t xml:space="preserve">2,220,000.00</w:t>
            </w:r>
          </w:p>
        </w:tc>
      </w:tr>
      <w:tr>
        <w:tc>
          <w:tcPr/>
          <w:p>
            <w:pPr>
              <w:pStyle w:val="Compact"/>
              <w:jc w:val="left"/>
            </w:pPr>
            <w:r>
              <w:t xml:space="preserve">4</w:t>
            </w:r>
          </w:p>
        </w:tc>
        <w:tc>
          <w:tcPr/>
          <w:p>
            <w:pPr>
              <w:pStyle w:val="Compact"/>
              <w:jc w:val="left"/>
            </w:pPr>
            <w:r>
              <w:t xml:space="preserve">Installation of 45 double-socket outlets, 12 single-socket outlets, and 8 dedicated appliance circuits</w:t>
            </w:r>
          </w:p>
        </w:tc>
        <w:tc>
          <w:tcPr/>
          <w:p>
            <w:pPr>
              <w:pStyle w:val="Compact"/>
              <w:jc w:val="left"/>
            </w:pPr>
            <w:r>
              <w:t xml:space="preserve">1</w:t>
            </w:r>
          </w:p>
        </w:tc>
        <w:tc>
          <w:tcPr/>
          <w:p>
            <w:pPr>
              <w:pStyle w:val="Compact"/>
              <w:jc w:val="left"/>
            </w:pPr>
            <w:r>
              <w:t xml:space="preserve">Lot</w:t>
            </w:r>
          </w:p>
        </w:tc>
        <w:tc>
          <w:tcPr/>
          <w:p>
            <w:pPr>
              <w:pStyle w:val="Compact"/>
              <w:jc w:val="left"/>
            </w:pPr>
            <w:r>
              <w:t xml:space="preserve">950,000.00</w:t>
            </w:r>
          </w:p>
        </w:tc>
        <w:tc>
          <w:tcPr/>
          <w:p>
            <w:pPr>
              <w:pStyle w:val="Compact"/>
              <w:jc w:val="left"/>
            </w:pPr>
            <w:r>
              <w:t xml:space="preserve">950,000.00</w:t>
            </w:r>
          </w:p>
        </w:tc>
      </w:tr>
      <w:tr>
        <w:tc>
          <w:tcPr/>
          <w:p>
            <w:pPr>
              <w:pStyle w:val="Compact"/>
              <w:jc w:val="left"/>
            </w:pPr>
            <w:r>
              <w:t xml:space="preserve">5</w:t>
            </w:r>
          </w:p>
        </w:tc>
        <w:tc>
          <w:tcPr/>
          <w:p>
            <w:pPr>
              <w:pStyle w:val="Compact"/>
              <w:jc w:val="left"/>
            </w:pPr>
            <w:r>
              <w:t xml:space="preserve">Supply and installation of a 15kVA inverter/UPS system with 200Ah battery bank for backup power</w:t>
            </w:r>
          </w:p>
        </w:tc>
        <w:tc>
          <w:tcPr/>
          <w:p>
            <w:pPr>
              <w:pStyle w:val="Compact"/>
              <w:jc w:val="left"/>
            </w:pPr>
            <w:r>
              <w:t xml:space="preserve">1</w:t>
            </w:r>
          </w:p>
        </w:tc>
        <w:tc>
          <w:tcPr/>
          <w:p>
            <w:pPr>
              <w:pStyle w:val="Compact"/>
              <w:jc w:val="left"/>
            </w:pPr>
            <w:r>
              <w:t xml:space="preserve">Set</w:t>
            </w:r>
          </w:p>
        </w:tc>
        <w:tc>
          <w:tcPr/>
          <w:p>
            <w:pPr>
              <w:pStyle w:val="Compact"/>
              <w:jc w:val="left"/>
            </w:pPr>
            <w:r>
              <w:t xml:space="preserve">3,600,000.00</w:t>
            </w:r>
          </w:p>
        </w:tc>
        <w:tc>
          <w:tcPr/>
          <w:p>
            <w:pPr>
              <w:pStyle w:val="Compact"/>
              <w:jc w:val="left"/>
            </w:pPr>
            <w:r>
              <w:t xml:space="preserve">3,600,000.00</w:t>
            </w:r>
          </w:p>
        </w:tc>
      </w:tr>
      <w:tr>
        <w:tc>
          <w:tcPr/>
          <w:p>
            <w:pPr>
              <w:pStyle w:val="Compact"/>
              <w:jc w:val="left"/>
            </w:pPr>
            <w:r>
              <w:t xml:space="preserve">6</w:t>
            </w:r>
          </w:p>
        </w:tc>
        <w:tc>
          <w:tcPr/>
          <w:p>
            <w:pPr>
              <w:pStyle w:val="Compact"/>
              <w:jc w:val="left"/>
            </w:pPr>
            <w:r>
              <w:t xml:space="preserve">Installation of surge protection devices (SPDs) at main distribution board and sub-panels</w:t>
            </w:r>
          </w:p>
        </w:tc>
        <w:tc>
          <w:tcPr/>
          <w:p>
            <w:pPr>
              <w:pStyle w:val="Compact"/>
              <w:jc w:val="left"/>
            </w:pPr>
            <w:r>
              <w:t xml:space="preserve">6</w:t>
            </w:r>
          </w:p>
        </w:tc>
        <w:tc>
          <w:tcPr/>
          <w:p>
            <w:pPr>
              <w:pStyle w:val="Compact"/>
              <w:jc w:val="left"/>
            </w:pPr>
            <w:r>
              <w:t xml:space="preserve">Units</w:t>
            </w:r>
          </w:p>
        </w:tc>
        <w:tc>
          <w:tcPr/>
          <w:p>
            <w:pPr>
              <w:pStyle w:val="Compact"/>
              <w:jc w:val="left"/>
            </w:pPr>
            <w:r>
              <w:t xml:space="preserve">45,000.00</w:t>
            </w:r>
          </w:p>
        </w:tc>
        <w:tc>
          <w:tcPr/>
          <w:p>
            <w:pPr>
              <w:pStyle w:val="Compact"/>
              <w:jc w:val="left"/>
            </w:pPr>
            <w:r>
              <w:t xml:space="preserve">270,000.00</w:t>
            </w:r>
          </w:p>
        </w:tc>
      </w:tr>
      <w:tr>
        <w:tc>
          <w:tcPr/>
          <w:p>
            <w:pPr>
              <w:pStyle w:val="Compact"/>
              <w:jc w:val="left"/>
            </w:pPr>
            <w:r>
              <w:t xml:space="preserve">7</w:t>
            </w:r>
          </w:p>
        </w:tc>
        <w:tc>
          <w:tcPr/>
          <w:p>
            <w:pPr>
              <w:pStyle w:val="Compact"/>
              <w:jc w:val="left"/>
            </w:pPr>
            <w:r>
              <w:t xml:space="preserve">Earthing and lightning protection system installation per NERC and IEC 62305 standards</w:t>
            </w:r>
          </w:p>
        </w:tc>
        <w:tc>
          <w:tcPr/>
          <w:p>
            <w:pPr>
              <w:pStyle w:val="Compact"/>
              <w:jc w:val="left"/>
            </w:pPr>
            <w:r>
              <w:t xml:space="preserve">1</w:t>
            </w:r>
          </w:p>
        </w:tc>
        <w:tc>
          <w:tcPr/>
          <w:p>
            <w:pPr>
              <w:pStyle w:val="Compact"/>
              <w:jc w:val="left"/>
            </w:pPr>
            <w:r>
              <w:t xml:space="preserve">Lot</w:t>
            </w:r>
          </w:p>
        </w:tc>
        <w:tc>
          <w:tcPr/>
          <w:p>
            <w:pPr>
              <w:pStyle w:val="Compact"/>
              <w:jc w:val="left"/>
            </w:pPr>
            <w:r>
              <w:t xml:space="preserve">780,000.00</w:t>
            </w:r>
          </w:p>
        </w:tc>
        <w:tc>
          <w:tcPr/>
          <w:p>
            <w:pPr>
              <w:pStyle w:val="Compact"/>
              <w:jc w:val="left"/>
            </w:pPr>
            <w:r>
              <w:t xml:space="preserve">780,000.00</w:t>
            </w:r>
          </w:p>
        </w:tc>
      </w:tr>
      <w:tr>
        <w:tc>
          <w:tcPr/>
          <w:p>
            <w:pPr>
              <w:pStyle w:val="Compact"/>
              <w:jc w:val="left"/>
            </w:pPr>
            <w:r>
              <w:t xml:space="preserve">8</w:t>
            </w:r>
          </w:p>
        </w:tc>
        <w:tc>
          <w:tcPr/>
          <w:p>
            <w:pPr>
              <w:pStyle w:val="Compact"/>
              <w:jc w:val="left"/>
            </w:pPr>
            <w:r>
              <w:t xml:space="preserve">Commissioning, load testing, and issuance of electrical compliance certificate for FCT Abuja authority</w:t>
            </w:r>
          </w:p>
        </w:tc>
        <w:tc>
          <w:tcPr/>
          <w:p>
            <w:pPr>
              <w:pStyle w:val="Compact"/>
              <w:jc w:val="left"/>
            </w:pPr>
            <w:r>
              <w:t xml:space="preserve">1</w:t>
            </w:r>
          </w:p>
        </w:tc>
        <w:tc>
          <w:tcPr/>
          <w:p>
            <w:pPr>
              <w:pStyle w:val="Compact"/>
              <w:jc w:val="left"/>
            </w:pPr>
            <w:r>
              <w:t xml:space="preserve">Lot</w:t>
            </w:r>
          </w:p>
        </w:tc>
        <w:tc>
          <w:tcPr/>
          <w:p>
            <w:pPr>
              <w:pStyle w:val="Compact"/>
              <w:jc w:val="left"/>
            </w:pPr>
            <w:r>
              <w:t xml:space="preserve">350,000.00</w:t>
            </w:r>
          </w:p>
        </w:tc>
        <w:tc>
          <w:tcPr/>
          <w:p>
            <w:pPr>
              <w:pStyle w:val="Compact"/>
              <w:jc w:val="left"/>
            </w:pPr>
            <w:r>
              <w:t xml:space="preserve">350,000.00</w:t>
            </w:r>
          </w:p>
        </w:tc>
      </w:tr>
      <w:tr>
        <w:tc>
          <w:tcPr/>
          <w:p>
            <w:pPr>
              <w:pStyle w:val="Compact"/>
              <w:jc w:val="left"/>
            </w:pPr>
            <w:r>
              <w:t xml:space="preserve">9</w:t>
            </w:r>
          </w:p>
        </w:tc>
        <w:tc>
          <w:tcPr/>
          <w:p>
            <w:pPr>
              <w:pStyle w:val="Compact"/>
              <w:jc w:val="left"/>
            </w:pPr>
            <w:r>
              <w:t xml:space="preserve">Provision of 12-month post-commissioning maintenance and fault-response service by the assigned Electrician team</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85,000.00</w:t>
            </w:r>
          </w:p>
        </w:tc>
        <w:tc>
          <w:tcPr/>
          <w:p>
            <w:pPr>
              <w:pStyle w:val="Compact"/>
              <w:jc w:val="left"/>
            </w:pPr>
            <w:r>
              <w:t xml:space="preserve">1,020,000.00</w:t>
            </w:r>
          </w:p>
        </w:tc>
      </w:tr>
      <w:tr>
        <w:tc>
          <w:tcPr>
            <w:gridSpan w:val="5"/>
          </w:tcPr>
          <w:p>
            <w:pPr>
              <w:pStyle w:val="Compact"/>
              <w:jc w:val="right"/>
            </w:pPr>
            <w:r>
              <w:t xml:space="preserve">Subtotal (NGN)</w:t>
            </w:r>
          </w:p>
        </w:tc>
        <w:tc>
          <w:tcPr/>
          <w:p>
            <w:pPr>
              <w:pStyle w:val="Compact"/>
              <w:jc w:val="left"/>
            </w:pPr>
            <w:r>
              <w:t xml:space="preserve">16,240,000.00</w:t>
            </w:r>
          </w:p>
        </w:tc>
      </w:tr>
      <w:tr>
        <w:tc>
          <w:tcPr>
            <w:gridSpan w:val="5"/>
          </w:tcPr>
          <w:p>
            <w:pPr>
              <w:pStyle w:val="Compact"/>
              <w:jc w:val="right"/>
            </w:pPr>
            <w:r>
              <w:t xml:space="preserve">VAT @ 7.5% (Nigeria Standard)</w:t>
            </w:r>
          </w:p>
        </w:tc>
        <w:tc>
          <w:tcPr/>
          <w:p>
            <w:pPr>
              <w:pStyle w:val="Compact"/>
              <w:jc w:val="left"/>
            </w:pPr>
            <w:r>
              <w:t xml:space="preserve">1,218,000.00</w:t>
            </w:r>
          </w:p>
        </w:tc>
      </w:tr>
      <w:tr>
        <w:tc>
          <w:tcPr>
            <w:gridSpan w:val="5"/>
          </w:tcPr>
          <w:p>
            <w:pPr>
              <w:pStyle w:val="Compact"/>
              <w:jc w:val="right"/>
            </w:pPr>
            <w:r>
              <w:t xml:space="preserve">TOTAL AMOUNT DUE (NGN)</w:t>
            </w:r>
          </w:p>
        </w:tc>
        <w:tc>
          <w:tcPr/>
          <w:p>
            <w:pPr>
              <w:pStyle w:val="Compact"/>
              <w:jc w:val="left"/>
            </w:pPr>
            <w:r>
              <w:t xml:space="preserve">17,458,000.00</w:t>
            </w:r>
          </w:p>
        </w:tc>
      </w:tr>
    </w:tbl>
    <w:p>
      <w:pPr>
        <w:pStyle w:val="BodyText"/>
      </w:pPr>
      <w:r>
        <w:t xml:space="preserve">4. Terms and Conditions</w:t>
      </w:r>
    </w:p>
    <w:p>
      <w:pPr>
        <w:numPr>
          <w:ilvl w:val="0"/>
          <w:numId w:val="1001"/>
        </w:numPr>
        <w:pStyle w:val="Compact"/>
      </w:pPr>
      <w:r>
        <w:rPr>
          <w:bCs/>
          <w:b/>
        </w:rPr>
        <w:t xml:space="preserve">Acceptance:</w:t>
      </w:r>
      <w:r>
        <w:t xml:space="preserve"> </w:t>
      </w:r>
      <w:r>
        <w:t xml:space="preserve">This Purchase Order shall become a binding contract upon written acceptance by the Electrician (BrightVolt Electrical &amp; Engineering Services Ltd.) within five (5) business days of the date of issue. Failure to respond within this period shall render this Purchase Order null and void.</w:t>
      </w:r>
    </w:p>
    <w:p>
      <w:pPr>
        <w:numPr>
          <w:ilvl w:val="0"/>
          <w:numId w:val="1001"/>
        </w:numPr>
        <w:pStyle w:val="Compact"/>
      </w:pPr>
      <w:r>
        <w:rPr>
          <w:bCs/>
          <w:b/>
        </w:rPr>
        <w:t xml:space="preserve">Commencement and Completion:</w:t>
      </w:r>
      <w:r>
        <w:t xml:space="preserve"> </w:t>
      </w:r>
      <w:r>
        <w:t xml:space="preserve">The Electrician shall mobilise to the project site in Nigeria Abuja within seven (7) calendar days of Purchase Order acceptance. All works shall be completed within a maximum of ninety (90) calendar days from the commencement date, subject to weather and access conditions.</w:t>
      </w:r>
    </w:p>
    <w:p>
      <w:pPr>
        <w:numPr>
          <w:ilvl w:val="0"/>
          <w:numId w:val="1001"/>
        </w:numPr>
        <w:pStyle w:val="Compact"/>
      </w:pPr>
      <w:r>
        <w:rPr>
          <w:bCs/>
          <w:b/>
        </w:rPr>
        <w:t xml:space="preserve">Qualifications and Licensing:</w:t>
      </w:r>
      <w:r>
        <w:t xml:space="preserve"> </w:t>
      </w:r>
      <w:r>
        <w:t xml:space="preserve">The lead Electrician and all technicians deployed under this Purchase Order must hold valid NIEE registration, a current FCT Building and Engineering Services Board (BESB) permit, and a valid National Identity Number (NIN) or International Passport. Copies of all credentials shall be submitted to the Buyer prior to site mobilisation.</w:t>
      </w:r>
    </w:p>
    <w:p>
      <w:pPr>
        <w:numPr>
          <w:ilvl w:val="0"/>
          <w:numId w:val="1001"/>
        </w:numPr>
        <w:pStyle w:val="Compact"/>
      </w:pPr>
      <w:r>
        <w:rPr>
          <w:bCs/>
          <w:b/>
        </w:rPr>
        <w:t xml:space="preserve">Payment Schedule:</w:t>
      </w:r>
      <w:r>
        <w:t xml:space="preserve"> </w:t>
      </w:r>
      <w:r>
        <w:t xml:space="preserve">Payment shall be made in three tranches: (a) 30% (NGN 5,237,400.00) upon Purchase Order acceptance and site mobilisation; (b) 50% (NGN 8,729,000.00) upon substantial completion and successful load testing; (c) 20% (NGN 3,491,600.00) upon final handover, issuance of the FCT electrical compliance certificate, and commencement of the maintenance period. All payments shall be made via bank transfer to the Electrician's designated account in Nigerian Naira (NGN).</w:t>
      </w:r>
    </w:p>
    <w:p>
      <w:pPr>
        <w:numPr>
          <w:ilvl w:val="0"/>
          <w:numId w:val="1001"/>
        </w:numPr>
        <w:pStyle w:val="Compact"/>
      </w:pPr>
      <w:r>
        <w:rPr>
          <w:bCs/>
          <w:b/>
        </w:rPr>
        <w:t xml:space="preserve">Materials and Standards:</w:t>
      </w:r>
      <w:r>
        <w:t xml:space="preserve"> </w:t>
      </w:r>
      <w:r>
        <w:t xml:space="preserve">All electrical materials, cables, breakers, and equipment supplied under this Purchase Order shall be new, of genuine manufacturer origin, and compliant with NERC, IEC, and FCT Abuja building regulations. The Electrician shall provide material data sheets and warranties for all supplied items.</w:t>
      </w:r>
    </w:p>
    <w:p>
      <w:pPr>
        <w:numPr>
          <w:ilvl w:val="0"/>
          <w:numId w:val="1001"/>
        </w:numPr>
        <w:pStyle w:val="Compact"/>
      </w:pPr>
      <w:r>
        <w:rPr>
          <w:bCs/>
          <w:b/>
        </w:rPr>
        <w:t xml:space="preserve">Health, Safety, and Environment (HSE):</w:t>
      </w:r>
      <w:r>
        <w:t xml:space="preserve"> </w:t>
      </w:r>
      <w:r>
        <w:t xml:space="preserve">The Electrician shall adhere to all HSE protocols on the project site in Nigeria Abuja, including the use of personal protective equipment (PPE), lockout/tagout procedures, and daily safety briefings. Any violation shall result in immediate work stoppage at the Electrician's cost.</w:t>
      </w:r>
    </w:p>
    <w:p>
      <w:pPr>
        <w:numPr>
          <w:ilvl w:val="0"/>
          <w:numId w:val="1001"/>
        </w:numPr>
        <w:pStyle w:val="Compact"/>
      </w:pPr>
      <w:r>
        <w:rPr>
          <w:bCs/>
          <w:b/>
        </w:rPr>
        <w:t xml:space="preserve">Warranty:</w:t>
      </w:r>
      <w:r>
        <w:t xml:space="preserve"> </w:t>
      </w:r>
      <w:r>
        <w:t xml:space="preserve">The Electrician warrants all workmanship and installed materials for a minimum period of twenty-four (24) months from the date of final acceptance. The 12-month maintenance service (Line Item 9) is included within this warranty period.</w:t>
      </w:r>
    </w:p>
    <w:p>
      <w:pPr>
        <w:numPr>
          <w:ilvl w:val="0"/>
          <w:numId w:val="1001"/>
        </w:numPr>
        <w:pStyle w:val="Compact"/>
      </w:pPr>
      <w:r>
        <w:rPr>
          <w:bCs/>
          <w:b/>
        </w:rPr>
        <w:t xml:space="preserve">Dispute Resolution:</w:t>
      </w:r>
      <w:r>
        <w:t xml:space="preserve"> </w:t>
      </w:r>
      <w:r>
        <w:t xml:space="preserve">Any dispute arising from this Purchase Order shall first be resolved through amicable negotiation. If unresolved within thirty (30) days, the matter shall be referred to arbitration under the Arbitration and Conciliation Act (Cap A18, LFN 2004) in Abuja, FCT, Nigeria. The seat of arbitration shall be Abuja.</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Federal Republic of Nigeria, with specific reference to the Federal Capital Territory (FCT) regulations applicable to electrical installations in Nigeria Abuja.</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government-imposed shutdowns, natural disasters, or nationwide power grid failures in Nigeria Abuja. The affected party shall notify the other in writing within forty-eight (48) hours.</w:t>
      </w:r>
    </w:p>
    <w:p>
      <w:pPr>
        <w:numPr>
          <w:ilvl w:val="0"/>
          <w:numId w:val="1001"/>
        </w:numPr>
        <w:pStyle w:val="Compact"/>
      </w:pPr>
      <w:r>
        <w:rPr>
          <w:bCs/>
          <w:b/>
        </w:rPr>
        <w:t xml:space="preserve">Confidentiality:</w:t>
      </w:r>
      <w:r>
        <w:t xml:space="preserve"> </w:t>
      </w:r>
      <w:r>
        <w:t xml:space="preserve">Both parties agree to maintain the confidentiality of all project specifications, pricing, and proprietary information exchanged under this Purchase Order for a period of three (3) years following project completion.</w:t>
      </w:r>
    </w:p>
    <w:p>
      <w:pPr>
        <w:pStyle w:val="FirstParagraph"/>
      </w:pPr>
      <w:r>
        <w:t xml:space="preserve">5. Authorisation and Acceptance</w:t>
      </w:r>
    </w:p>
    <w:p>
      <w:pPr>
        <w:pStyle w:val="BodyText"/>
      </w:pPr>
      <w:r>
        <w:t xml:space="preserve">By signing below, the parties acknowledge that this Purchase Order for Electrician services in Nigeria Abuja constitutes a complete and binding agreement. This document supersedes all prior quotations, verbal agreements, and correspondence relating to the scope of work described herein.</w:t>
      </w:r>
    </w:p>
    <w:p>
      <w:pPr>
        <w:pStyle w:val="BodyText"/>
      </w:pPr>
      <w:r>
        <w:rPr>
          <w:bCs/>
          <w:b/>
        </w:rPr>
        <w:t xml:space="preserve">For and on behalf of the Buyer:</w:t>
      </w:r>
      <w:r>
        <w:br/>
      </w:r>
      <w:r>
        <w:t xml:space="preserve">Maitama Infrastructure &amp; Development Ltd.</w:t>
      </w:r>
    </w:p>
    <w:p>
      <w:pPr>
        <w:pStyle w:val="BodyText"/>
      </w:pPr>
      <w:r>
        <w:rPr>
          <w:bCs/>
          <w:b/>
        </w:rPr>
        <w:t xml:space="preserve">Name:</w:t>
      </w:r>
      <w:r>
        <w:t xml:space="preserve"> </w:t>
      </w:r>
      <w:r>
        <w:t xml:space="preserve">Mr. Chukwuma Okafor</w:t>
      </w:r>
      <w:r>
        <w:br/>
      </w:r>
      <w:r>
        <w:rPr>
          <w:bCs/>
          <w:b/>
        </w:rPr>
        <w:t xml:space="preserve">Title:</w:t>
      </w:r>
      <w:r>
        <w:t xml:space="preserve"> </w:t>
      </w:r>
      <w:r>
        <w:t xml:space="preserve">Project Director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the Electrician / Supplier:</w:t>
      </w:r>
      <w:r>
        <w:br/>
      </w:r>
      <w:r>
        <w:t xml:space="preserve">BrightVolt Electrical &amp; Engineering Services Ltd.</w:t>
      </w:r>
    </w:p>
    <w:p>
      <w:pPr>
        <w:pStyle w:val="BodyText"/>
      </w:pPr>
      <w:r>
        <w:rPr>
          <w:bCs/>
          <w:b/>
        </w:rPr>
        <w:t xml:space="preserve">Name:</w:t>
      </w:r>
      <w:r>
        <w:t xml:space="preserve"> </w:t>
      </w:r>
      <w:r>
        <w:t xml:space="preserve">Mr. Ibrahim Danjuma</w:t>
      </w:r>
      <w:r>
        <w:br/>
      </w:r>
      <w:r>
        <w:rPr>
          <w:bCs/>
          <w:b/>
        </w:rPr>
        <w:t xml:space="preserve">Title:</w:t>
      </w:r>
      <w:r>
        <w:t xml:space="preserve"> </w:t>
      </w:r>
      <w:r>
        <w:t xml:space="preserve">Lead Electrician / Managing Director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(PO/ABJ/2025/00472) is issued for Electrician services in Nigeria Abuja and is valid for 30 days from the date of issue. All amounts are stated in Nigerian Naira (NGN). This document is the property of Maitama Infrastructure &amp; Development Ltd. and shall not be reproduced or distributed without prior written consent.</w:t>
      </w:r>
    </w:p>
    <w:p>
      <w:pPr>
        <w:pStyle w:val="BodyText"/>
      </w:pPr>
      <w:r>
        <w:t xml:space="preserve">© 2025 Maitama Infrastructure &amp; Development Ltd. — Abuja, FCT, Nigeria.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Electrician Services - Nigeria Abuja</dc:title>
  <dc:creator/>
  <dc:language>en</dc:language>
  <cp:keywords/>
  <dcterms:created xsi:type="dcterms:W3CDTF">2026-10-10T05:51:12Z</dcterms:created>
  <dcterms:modified xsi:type="dcterms:W3CDTF">2026-10-10T05:51:12Z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