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Electrician</w:t>
      </w:r>
      <w:r>
        <w:t xml:space="preserve"> </w:t>
      </w:r>
      <w:r>
        <w:t xml:space="preserve">Services</w:t>
      </w:r>
      <w:r>
        <w:t xml:space="preserve"> </w:t>
      </w:r>
      <w:r>
        <w:t xml:space="preserve">-</w:t>
      </w:r>
      <w:r>
        <w:t xml:space="preserve"> </w:t>
      </w:r>
      <w:r>
        <w:t xml:space="preserve">Qatar</w:t>
      </w:r>
      <w:r>
        <w:t xml:space="preserve"> </w:t>
      </w:r>
      <w:r>
        <w:t xml:space="preserve">Doha</w:t>
      </w:r>
    </w:p>
    <w:tbl>
      <w:tblPr>
        <w:tblStyle w:val="Table"/>
        <w:tblW w:type="pct" w:w="5000"/>
        <w:tblLook w:firstRow="0" w:lastRow="0" w:firstColumn="0" w:lastColumn="0" w:noHBand="0" w:noVBand="0" w:val="0000"/>
      </w:tblPr>
      <w:tblGrid>
        <w:gridCol w:w="3960"/>
        <w:gridCol w:w="3960"/>
      </w:tblGrid>
      <w:tr>
        <w:tc>
          <w:tcPr/>
          <w:p>
            <w:pPr>
              <w:pStyle w:val="Heading1"/>
              <w:jc w:val="left"/>
            </w:pPr>
            <w:bookmarkStart w:id="20" w:name="purchase-order"/>
            <w:r>
              <w:t xml:space="preserve">PURCHASE ORDER</w:t>
            </w:r>
            <w:bookmarkEnd w:id="20"/>
          </w:p>
          <w:p>
            <w:pPr>
              <w:jc w:val="left"/>
            </w:pPr>
            <w:r>
              <w:t xml:space="preserve">Al Noor Construction &amp; Facilities Management LLC</w:t>
            </w:r>
          </w:p>
          <w:p>
            <w:pPr>
              <w:jc w:val="left"/>
            </w:pPr>
            <w:r>
              <w:t xml:space="preserve">Office 412, Business Bay Tower, Street 35, Al Sadd</w:t>
            </w:r>
          </w:p>
          <w:p>
            <w:pPr>
              <w:jc w:val="left"/>
            </w:pPr>
            <w:r>
              <w:t xml:space="preserve">Doha, State of Qatar</w:t>
            </w:r>
          </w:p>
          <w:p>
            <w:pPr>
              <w:jc w:val="left"/>
            </w:pPr>
            <w:r>
              <w:t xml:space="preserve">CR No: 123456 | VAT No: QV-789-456-123</w:t>
            </w:r>
          </w:p>
          <w:p>
            <w:pPr>
              <w:jc w:val="left"/>
            </w:pPr>
            <w:r>
              <w:t xml:space="preserve">Tel: +974-4455-6677 | Email: procurement@alnoor-qatar.com</w:t>
            </w:r>
          </w:p>
        </w:tc>
        <w:tc>
          <w:tcPr/>
          <w:p>
            <w:pPr>
              <w:jc w:val="right"/>
            </w:pPr>
            <w:r>
              <w:t xml:space="preserve">Purchase Order No: PO-2025-QD-00847</w:t>
            </w:r>
          </w:p>
          <w:p>
            <w:pPr>
              <w:jc w:val="right"/>
            </w:pPr>
            <w:r>
              <w:t xml:space="preserve">Date of Issue: 14 June 2025</w:t>
            </w:r>
          </w:p>
          <w:p>
            <w:pPr>
              <w:jc w:val="right"/>
            </w:pPr>
            <w:r>
              <w:t xml:space="preserve">Valid Until: 14 July 2025</w:t>
            </w:r>
          </w:p>
          <w:p>
            <w:pPr>
              <w:jc w:val="right"/>
            </w:pPr>
            <w:r>
              <w:t xml:space="preserve">Currency: Qatari Riyal (QAR)</w:t>
            </w:r>
          </w:p>
          <w:p>
            <w:pPr>
              <w:jc w:val="right"/>
            </w:pPr>
            <w:r>
              <w:t xml:space="preserve">Project Location: Doha, Qatar</w:t>
            </w:r>
          </w:p>
        </w:tc>
      </w:tr>
    </w:tbl>
    <w:bookmarkStart w:id="21" w:name="vendor-electrician-details"/>
    <w:p>
      <w:pPr>
        <w:pStyle w:val="Heading2"/>
      </w:pPr>
      <w:r>
        <w:t xml:space="preserve">Vendor / Electrician Details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r>
              <w:t xml:space="preserve"> </w:t>
            </w:r>
            <w:r>
              <w:t xml:space="preserve">Gulf Star Electrical Contracting WLL</w:t>
            </w:r>
          </w:p>
        </w:tc>
        <w:tc>
          <w:tcPr/>
          <w:p>
            <w:pPr>
              <w:pStyle w:val="Compact"/>
              <w:jc w:val="left"/>
            </w:pPr>
            <w:r>
              <w:rPr>
                <w:bCs/>
                <w:b/>
              </w:rPr>
              <w:t xml:space="preserve">Trade License No:</w:t>
            </w:r>
            <w:r>
              <w:t xml:space="preserve"> </w:t>
            </w:r>
            <w:r>
              <w:t xml:space="preserve">TL-2019-44521</w:t>
            </w:r>
          </w:p>
        </w:tc>
      </w:tr>
      <w:tr>
        <w:tc>
          <w:tcPr/>
          <w:p>
            <w:pPr>
              <w:pStyle w:val="Compact"/>
              <w:jc w:val="left"/>
            </w:pPr>
            <w:r>
              <w:rPr>
                <w:bCs/>
                <w:b/>
              </w:rPr>
              <w:t xml:space="preserve">Lead Electrician:</w:t>
            </w:r>
            <w:r>
              <w:t xml:space="preserve"> </w:t>
            </w:r>
            <w:r>
              <w:t xml:space="preserve">Mr. Khalid Al-Mansoori (Qatar QID: 298765432101)</w:t>
            </w:r>
          </w:p>
        </w:tc>
        <w:tc>
          <w:tcPr/>
          <w:p>
            <w:pPr>
              <w:pStyle w:val="Compact"/>
              <w:jc w:val="left"/>
            </w:pPr>
            <w:r>
              <w:rPr>
                <w:bCs/>
                <w:b/>
              </w:rPr>
              <w:t xml:space="preserve">MOIAT Registration:</w:t>
            </w:r>
            <w:r>
              <w:t xml:space="preserve"> </w:t>
            </w:r>
            <w:r>
              <w:t xml:space="preserve">MOIAT-ELC-2024-00312</w:t>
            </w:r>
          </w:p>
        </w:tc>
      </w:tr>
      <w:tr>
        <w:tc>
          <w:tcPr/>
          <w:p>
            <w:pPr>
              <w:pStyle w:val="Compact"/>
              <w:jc w:val="left"/>
            </w:pPr>
            <w:r>
              <w:rPr>
                <w:bCs/>
                <w:b/>
              </w:rPr>
              <w:t xml:space="preserve">Address:</w:t>
            </w:r>
            <w:r>
              <w:t xml:space="preserve"> </w:t>
            </w:r>
            <w:r>
              <w:t xml:space="preserve">Industrial Area, Zone 3, Doha, Qatar</w:t>
            </w:r>
          </w:p>
        </w:tc>
        <w:tc>
          <w:tcPr/>
          <w:p>
            <w:pPr>
              <w:pStyle w:val="Compact"/>
              <w:jc w:val="left"/>
            </w:pPr>
            <w:r>
              <w:rPr>
                <w:bCs/>
                <w:b/>
              </w:rPr>
              <w:t xml:space="preserve">Contact:</w:t>
            </w:r>
            <w:r>
              <w:t xml:space="preserve"> </w:t>
            </w:r>
            <w:r>
              <w:t xml:space="preserve">+974-5512-3344</w:t>
            </w:r>
          </w:p>
        </w:tc>
      </w:tr>
      <w:tr>
        <w:tc>
          <w:tcPr/>
          <w:p>
            <w:pPr>
              <w:pStyle w:val="Compact"/>
              <w:jc w:val="left"/>
            </w:pPr>
            <w:r>
              <w:rPr>
                <w:bCs/>
                <w:b/>
              </w:rPr>
              <w:t xml:space="preserve">Email:</w:t>
            </w:r>
            <w:r>
              <w:t xml:space="preserve"> </w:t>
            </w:r>
            <w:r>
              <w:t xml:space="preserve">info@gulfstarelec.qa</w:t>
            </w:r>
          </w:p>
        </w:tc>
        <w:tc>
          <w:tcPr/>
          <w:p>
            <w:pPr>
              <w:pStyle w:val="Compact"/>
              <w:jc w:val="left"/>
            </w:pPr>
            <w:r>
              <w:rPr>
                <w:bCs/>
                <w:b/>
              </w:rPr>
              <w:t xml:space="preserve">VAT No:</w:t>
            </w:r>
            <w:r>
              <w:t xml:space="preserve"> </w:t>
            </w:r>
            <w:r>
              <w:t xml:space="preserve">QV-321-654-987</w:t>
            </w:r>
          </w:p>
        </w:tc>
      </w:tr>
      <w:tr>
        <w:tc>
          <w:tcPr/>
          <w:p>
            <w:pPr>
              <w:pStyle w:val="Compact"/>
              <w:jc w:val="left"/>
            </w:pPr>
            <w:r>
              <w:rPr>
                <w:bCs/>
                <w:b/>
              </w:rPr>
              <w:t xml:space="preserve">Scope of Work:</w:t>
            </w:r>
            <w:r>
              <w:t xml:space="preserve"> </w:t>
            </w:r>
            <w:r>
              <w:t xml:space="preserve">Licensed Electrician – Commercial &amp; Residential (Qatar Doha)</w:t>
            </w:r>
          </w:p>
        </w:tc>
        <w:tc>
          <w:tcPr/>
          <w:p>
            <w:pPr>
              <w:pStyle w:val="Compact"/>
              <w:jc w:val="left"/>
            </w:pPr>
            <w:r>
              <w:rPr>
                <w:bCs/>
                <w:b/>
              </w:rPr>
              <w:t xml:space="preserve">Insurance Policy:</w:t>
            </w:r>
            <w:r>
              <w:t xml:space="preserve"> </w:t>
            </w:r>
            <w:r>
              <w:t xml:space="preserve">PICC-2025-ELC-88901</w:t>
            </w:r>
          </w:p>
        </w:tc>
      </w:tr>
    </w:tbl>
    <w:bookmarkEnd w:id="21"/>
    <w:bookmarkStart w:id="22" w:name="project-description"/>
    <w:p>
      <w:pPr>
        <w:pStyle w:val="Heading2"/>
      </w:pPr>
      <w:r>
        <w:t xml:space="preserve">Project Description</w:t>
      </w:r>
    </w:p>
    <w:p>
      <w:pPr>
        <w:pStyle w:val="FirstParagraph"/>
      </w:pPr>
      <w:r>
        <w:t xml:space="preserve">This Purchase Order is issued by Al Noor Construction &amp; Facilities Management LLC to engage the services of a licensed Electrician, Gulf Star Electrical Contracting WLL, for the complete electrical installation, inspection, and commissioning of a commercial office building located at Street 42, Al Rayyan, Doha, State of Qatar. The Electrician shall perform all work in strict compliance with the Qatar Electricity &amp; Water Authority (KEWAI) regulations, the Qatar Building Code, and all applicable standards enforced within Qatar Doha. The Electrician is responsible for supplying all necessary materials, tools, and skilled labor required to complete the scope described in this Purchase Order.</w:t>
      </w:r>
    </w:p>
    <w:bookmarkEnd w:id="22"/>
    <w:bookmarkStart w:id="23" w:name="scope-of-work-line-items"/>
    <w:p>
      <w:pPr>
        <w:pStyle w:val="Heading2"/>
      </w:pPr>
      <w:r>
        <w:t xml:space="preserve">Scope of Work &amp; 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center"/>
            </w:pPr>
            <w:r>
              <w:t xml:space="preserve">Qty</w:t>
            </w:r>
          </w:p>
        </w:tc>
        <w:tc>
          <w:tcPr/>
          <w:p>
            <w:pPr>
              <w:pStyle w:val="Compact"/>
              <w:jc w:val="right"/>
            </w:pPr>
            <w:r>
              <w:t xml:space="preserve">Unit Price (QAR)</w:t>
            </w:r>
          </w:p>
        </w:tc>
        <w:tc>
          <w:tcPr/>
          <w:p>
            <w:pPr>
              <w:pStyle w:val="Compact"/>
              <w:jc w:val="right"/>
            </w:pPr>
            <w:r>
              <w:t xml:space="preserve">Total (QAR)</w:t>
            </w:r>
          </w:p>
        </w:tc>
      </w:tr>
      <w:tr>
        <w:tc>
          <w:tcPr/>
          <w:p>
            <w:pPr>
              <w:pStyle w:val="Compact"/>
              <w:jc w:val="left"/>
            </w:pPr>
            <w:r>
              <w:t xml:space="preserve">1</w:t>
            </w:r>
          </w:p>
        </w:tc>
        <w:tc>
          <w:tcPr/>
          <w:p>
            <w:pPr>
              <w:pStyle w:val="Compact"/>
              <w:jc w:val="left"/>
            </w:pPr>
            <w:r>
              <w:t xml:space="preserve">Main electrical panel installation (630A) including breakers, busbars, and earthing – Electrician labor &amp; materials</w:t>
            </w:r>
          </w:p>
        </w:tc>
        <w:tc>
          <w:tcPr/>
          <w:p>
            <w:pPr>
              <w:pStyle w:val="Compact"/>
              <w:jc w:val="center"/>
            </w:pPr>
            <w:r>
              <w:t xml:space="preserve">1</w:t>
            </w:r>
          </w:p>
        </w:tc>
        <w:tc>
          <w:tcPr/>
          <w:p>
            <w:pPr>
              <w:pStyle w:val="Compact"/>
              <w:jc w:val="right"/>
            </w:pPr>
            <w:r>
              <w:t xml:space="preserve">48,500.00</w:t>
            </w:r>
          </w:p>
        </w:tc>
        <w:tc>
          <w:tcPr/>
          <w:p>
            <w:pPr>
              <w:pStyle w:val="Compact"/>
              <w:jc w:val="right"/>
            </w:pPr>
            <w:r>
              <w:t xml:space="preserve">48,500.00</w:t>
            </w:r>
          </w:p>
        </w:tc>
      </w:tr>
      <w:tr>
        <w:tc>
          <w:tcPr/>
          <w:p>
            <w:pPr>
              <w:pStyle w:val="Compact"/>
              <w:jc w:val="left"/>
            </w:pPr>
            <w:r>
              <w:t xml:space="preserve">2</w:t>
            </w:r>
          </w:p>
        </w:tc>
        <w:tc>
          <w:tcPr/>
          <w:p>
            <w:pPr>
              <w:pStyle w:val="Compact"/>
              <w:jc w:val="left"/>
            </w:pPr>
            <w:r>
              <w:t xml:space="preserve">Sub-distribution boards (125A) for floors 1–5, including wiring, conduits, and cable trays</w:t>
            </w:r>
          </w:p>
        </w:tc>
        <w:tc>
          <w:tcPr/>
          <w:p>
            <w:pPr>
              <w:pStyle w:val="Compact"/>
              <w:jc w:val="center"/>
            </w:pPr>
            <w:r>
              <w:t xml:space="preserve">5</w:t>
            </w:r>
          </w:p>
        </w:tc>
        <w:tc>
          <w:tcPr/>
          <w:p>
            <w:pPr>
              <w:pStyle w:val="Compact"/>
              <w:jc w:val="right"/>
            </w:pPr>
            <w:r>
              <w:t xml:space="preserve">12,200.00</w:t>
            </w:r>
          </w:p>
        </w:tc>
        <w:tc>
          <w:tcPr/>
          <w:p>
            <w:pPr>
              <w:pStyle w:val="Compact"/>
              <w:jc w:val="right"/>
            </w:pPr>
            <w:r>
              <w:t xml:space="preserve">61,000.00</w:t>
            </w:r>
          </w:p>
        </w:tc>
      </w:tr>
      <w:tr>
        <w:tc>
          <w:tcPr/>
          <w:p>
            <w:pPr>
              <w:pStyle w:val="Compact"/>
              <w:jc w:val="left"/>
            </w:pPr>
            <w:r>
              <w:t xml:space="preserve">3</w:t>
            </w:r>
          </w:p>
        </w:tc>
        <w:tc>
          <w:tcPr/>
          <w:p>
            <w:pPr>
              <w:pStyle w:val="Compact"/>
              <w:jc w:val="left"/>
            </w:pPr>
            <w:r>
              <w:t xml:space="preserve">Lighting fixtures installation (LED panels, downlights, emergency lights) – Electrician fitting &amp; testing</w:t>
            </w:r>
          </w:p>
        </w:tc>
        <w:tc>
          <w:tcPr/>
          <w:p>
            <w:pPr>
              <w:pStyle w:val="Compact"/>
              <w:jc w:val="center"/>
            </w:pPr>
            <w:r>
              <w:t xml:space="preserve">320</w:t>
            </w:r>
          </w:p>
        </w:tc>
        <w:tc>
          <w:tcPr/>
          <w:p>
            <w:pPr>
              <w:pStyle w:val="Compact"/>
              <w:jc w:val="right"/>
            </w:pPr>
            <w:r>
              <w:t xml:space="preserve">185.00</w:t>
            </w:r>
          </w:p>
        </w:tc>
        <w:tc>
          <w:tcPr/>
          <w:p>
            <w:pPr>
              <w:pStyle w:val="Compact"/>
              <w:jc w:val="right"/>
            </w:pPr>
            <w:r>
              <w:t xml:space="preserve">59,200.00</w:t>
            </w:r>
          </w:p>
        </w:tc>
      </w:tr>
      <w:tr>
        <w:tc>
          <w:tcPr/>
          <w:p>
            <w:pPr>
              <w:pStyle w:val="Compact"/>
              <w:jc w:val="left"/>
            </w:pPr>
            <w:r>
              <w:t xml:space="preserve">4</w:t>
            </w:r>
          </w:p>
        </w:tc>
        <w:tc>
          <w:tcPr/>
          <w:p>
            <w:pPr>
              <w:pStyle w:val="Compact"/>
              <w:jc w:val="left"/>
            </w:pPr>
            <w:r>
              <w:t xml:space="preserve">Power socket &amp; data point installation (16A, 32A, Cat6) across all floors</w:t>
            </w:r>
          </w:p>
        </w:tc>
        <w:tc>
          <w:tcPr/>
          <w:p>
            <w:pPr>
              <w:pStyle w:val="Compact"/>
              <w:jc w:val="center"/>
            </w:pPr>
            <w:r>
              <w:t xml:space="preserve">480</w:t>
            </w:r>
          </w:p>
        </w:tc>
        <w:tc>
          <w:tcPr/>
          <w:p>
            <w:pPr>
              <w:pStyle w:val="Compact"/>
              <w:jc w:val="right"/>
            </w:pPr>
            <w:r>
              <w:t xml:space="preserve">95.00</w:t>
            </w:r>
          </w:p>
        </w:tc>
        <w:tc>
          <w:tcPr/>
          <w:p>
            <w:pPr>
              <w:pStyle w:val="Compact"/>
              <w:jc w:val="right"/>
            </w:pPr>
            <w:r>
              <w:t xml:space="preserve">45,600.00</w:t>
            </w:r>
          </w:p>
        </w:tc>
      </w:tr>
      <w:tr>
        <w:tc>
          <w:tcPr/>
          <w:p>
            <w:pPr>
              <w:pStyle w:val="Compact"/>
              <w:jc w:val="left"/>
            </w:pPr>
            <w:r>
              <w:t xml:space="preserve">5</w:t>
            </w:r>
          </w:p>
        </w:tc>
        <w:tc>
          <w:tcPr/>
          <w:p>
            <w:pPr>
              <w:pStyle w:val="Compact"/>
              <w:jc w:val="left"/>
            </w:pPr>
            <w:r>
              <w:t xml:space="preserve">Earthing &amp; lightning protection system (LPS) installation per Qatar Doha municipal code</w:t>
            </w:r>
          </w:p>
        </w:tc>
        <w:tc>
          <w:tcPr/>
          <w:p>
            <w:pPr>
              <w:pStyle w:val="Compact"/>
              <w:jc w:val="center"/>
            </w:pPr>
            <w:r>
              <w:t xml:space="preserve">1</w:t>
            </w:r>
          </w:p>
        </w:tc>
        <w:tc>
          <w:tcPr/>
          <w:p>
            <w:pPr>
              <w:pStyle w:val="Compact"/>
              <w:jc w:val="right"/>
            </w:pPr>
            <w:r>
              <w:t xml:space="preserve">22,000.00</w:t>
            </w:r>
          </w:p>
        </w:tc>
        <w:tc>
          <w:tcPr/>
          <w:p>
            <w:pPr>
              <w:pStyle w:val="Compact"/>
              <w:jc w:val="right"/>
            </w:pPr>
            <w:r>
              <w:t xml:space="preserve">22,000.00</w:t>
            </w:r>
          </w:p>
        </w:tc>
      </w:tr>
      <w:tr>
        <w:tc>
          <w:tcPr/>
          <w:p>
            <w:pPr>
              <w:pStyle w:val="Compact"/>
              <w:jc w:val="left"/>
            </w:pPr>
            <w:r>
              <w:t xml:space="preserve">6</w:t>
            </w:r>
          </w:p>
        </w:tc>
        <w:tc>
          <w:tcPr/>
          <w:p>
            <w:pPr>
              <w:pStyle w:val="Compact"/>
              <w:jc w:val="left"/>
            </w:pPr>
            <w:r>
              <w:t xml:space="preserve">Fire alarm &amp; emergency lighting circuit wiring and testing – Electrician specialized labor</w:t>
            </w:r>
          </w:p>
        </w:tc>
        <w:tc>
          <w:tcPr/>
          <w:p>
            <w:pPr>
              <w:pStyle w:val="Compact"/>
              <w:jc w:val="center"/>
            </w:pPr>
            <w:r>
              <w:t xml:space="preserve">1</w:t>
            </w:r>
          </w:p>
        </w:tc>
        <w:tc>
          <w:tcPr/>
          <w:p>
            <w:pPr>
              <w:pStyle w:val="Compact"/>
              <w:jc w:val="right"/>
            </w:pPr>
            <w:r>
              <w:t xml:space="preserve">34,500.00</w:t>
            </w:r>
          </w:p>
        </w:tc>
        <w:tc>
          <w:tcPr/>
          <w:p>
            <w:pPr>
              <w:pStyle w:val="Compact"/>
              <w:jc w:val="right"/>
            </w:pPr>
            <w:r>
              <w:t xml:space="preserve">34,500.00</w:t>
            </w:r>
          </w:p>
        </w:tc>
      </w:tr>
      <w:tr>
        <w:tc>
          <w:tcPr/>
          <w:p>
            <w:pPr>
              <w:pStyle w:val="Compact"/>
              <w:jc w:val="left"/>
            </w:pPr>
            <w:r>
              <w:t xml:space="preserve">7</w:t>
            </w:r>
          </w:p>
        </w:tc>
        <w:tc>
          <w:tcPr/>
          <w:p>
            <w:pPr>
              <w:pStyle w:val="Compact"/>
              <w:jc w:val="left"/>
            </w:pPr>
            <w:r>
              <w:t xml:space="preserve">Thermal imaging inspection, insulation resistance testing, and final KEWAI compliance certification</w:t>
            </w:r>
          </w:p>
        </w:tc>
        <w:tc>
          <w:tcPr/>
          <w:p>
            <w:pPr>
              <w:pStyle w:val="Compact"/>
              <w:jc w:val="center"/>
            </w:pPr>
            <w:r>
              <w:t xml:space="preserve">1</w:t>
            </w:r>
          </w:p>
        </w:tc>
        <w:tc>
          <w:tcPr/>
          <w:p>
            <w:pPr>
              <w:pStyle w:val="Compact"/>
              <w:jc w:val="right"/>
            </w:pPr>
            <w:r>
              <w:t xml:space="preserve">8,750.00</w:t>
            </w:r>
          </w:p>
        </w:tc>
        <w:tc>
          <w:tcPr/>
          <w:p>
            <w:pPr>
              <w:pStyle w:val="Compact"/>
              <w:jc w:val="right"/>
            </w:pPr>
            <w:r>
              <w:t xml:space="preserve">8,750.00</w:t>
            </w:r>
          </w:p>
        </w:tc>
      </w:tr>
      <w:tr>
        <w:tc>
          <w:tcPr/>
          <w:p>
            <w:pPr>
              <w:pStyle w:val="Compact"/>
              <w:jc w:val="left"/>
            </w:pPr>
            <w:r>
              <w:t xml:space="preserve">8</w:t>
            </w:r>
          </w:p>
        </w:tc>
        <w:tc>
          <w:tcPr/>
          <w:p>
            <w:pPr>
              <w:pStyle w:val="Compact"/>
              <w:jc w:val="left"/>
            </w:pPr>
            <w:r>
              <w:t xml:space="preserve">As-built drawings, O&amp;M manuals, and warranty documentation submission</w:t>
            </w:r>
          </w:p>
        </w:tc>
        <w:tc>
          <w:tcPr/>
          <w:p>
            <w:pPr>
              <w:pStyle w:val="Compact"/>
              <w:jc w:val="center"/>
            </w:pPr>
            <w:r>
              <w:t xml:space="preserve">1</w:t>
            </w:r>
          </w:p>
        </w:tc>
        <w:tc>
          <w:tcPr/>
          <w:p>
            <w:pPr>
              <w:pStyle w:val="Compact"/>
              <w:jc w:val="right"/>
            </w:pPr>
            <w:r>
              <w:t xml:space="preserve">3,200.00</w:t>
            </w:r>
          </w:p>
        </w:tc>
        <w:tc>
          <w:tcPr/>
          <w:p>
            <w:pPr>
              <w:pStyle w:val="Compact"/>
              <w:jc w:val="right"/>
            </w:pPr>
            <w:r>
              <w:t xml:space="preserve">3,200.00</w:t>
            </w:r>
          </w:p>
        </w:tc>
      </w:tr>
    </w:tbl>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282,750.00 QAR</w:t>
            </w:r>
          </w:p>
        </w:tc>
      </w:tr>
      <w:tr>
        <w:tc>
          <w:tcPr/>
          <w:p>
            <w:pPr>
              <w:pStyle w:val="Compact"/>
              <w:jc w:val="left"/>
            </w:pPr>
            <w:r>
              <w:t xml:space="preserve">VAT (14%):</w:t>
            </w:r>
          </w:p>
        </w:tc>
        <w:tc>
          <w:tcPr/>
          <w:p>
            <w:pPr>
              <w:pStyle w:val="Compact"/>
              <w:jc w:val="right"/>
            </w:pPr>
            <w:r>
              <w:t xml:space="preserve">39,585.00 QAR</w:t>
            </w:r>
          </w:p>
        </w:tc>
      </w:tr>
      <w:tr>
        <w:tc>
          <w:tcPr/>
          <w:p>
            <w:pPr>
              <w:pStyle w:val="Compact"/>
              <w:jc w:val="left"/>
            </w:pPr>
            <w:r>
              <w:t xml:space="preserve">Grand Total:</w:t>
            </w:r>
          </w:p>
        </w:tc>
        <w:tc>
          <w:tcPr/>
          <w:p>
            <w:pPr>
              <w:pStyle w:val="Compact"/>
              <w:jc w:val="right"/>
            </w:pPr>
            <w:r>
              <w:t xml:space="preserve">322,335.00 QAR</w:t>
            </w:r>
          </w:p>
        </w:tc>
      </w:tr>
    </w:tbl>
    <w:bookmarkStart w:id="24" w:name="terms-and-conditions"/>
    <w:p>
      <w:pPr>
        <w:pStyle w:val="Heading2"/>
      </w:pPr>
      <w:r>
        <w:t xml:space="preserve">Terms and Conditions</w:t>
      </w:r>
    </w:p>
    <w:p>
      <w:pPr>
        <w:numPr>
          <w:ilvl w:val="0"/>
          <w:numId w:val="1001"/>
        </w:numPr>
        <w:pStyle w:val="Compact"/>
      </w:pPr>
      <w:r>
        <w:t xml:space="preserve">This Purchase Order constitutes a binding agreement between Al Noor Construction &amp; Facilities Management LLC (hereinafter "Buyer") and Gulf Star Electrical Contracting WLL (hereinafter "Electrician / Vendor") for the electrical works described herein in Qatar Doha.</w:t>
      </w:r>
    </w:p>
    <w:p>
      <w:pPr>
        <w:numPr>
          <w:ilvl w:val="0"/>
          <w:numId w:val="1001"/>
        </w:numPr>
        <w:pStyle w:val="Compact"/>
      </w:pPr>
      <w:r>
        <w:t xml:space="preserve">The Electrician shall mobilize all qualified personnel, tools, and materials to the project site in Doha within five (5) working days of receiving written confirmation of this Purchase Order.</w:t>
      </w:r>
    </w:p>
    <w:p>
      <w:pPr>
        <w:numPr>
          <w:ilvl w:val="0"/>
          <w:numId w:val="1001"/>
        </w:numPr>
        <w:pStyle w:val="Compact"/>
      </w:pPr>
      <w:r>
        <w:t xml:space="preserve">All electrical work must comply with the Qatar Building Code, KEWAI (Kahramaa) regulations, and the municipal bylaws of Doha, State of Qatar. The Electrician shall obtain all necessary permits and inspections prior to energization.</w:t>
      </w:r>
    </w:p>
    <w:p>
      <w:pPr>
        <w:numPr>
          <w:ilvl w:val="0"/>
          <w:numId w:val="1001"/>
        </w:numPr>
        <w:pStyle w:val="Compact"/>
      </w:pPr>
      <w:r>
        <w:t xml:space="preserve">Payment terms: 30% advance upon Purchase Order confirmation, 40% upon completion of installation and passing of interim inspection, and 30% upon final KEWAI certification and handover. All payments shall be made via bank transfer to the Electrician's designated account in Qatar Doha.</w:t>
      </w:r>
    </w:p>
    <w:p>
      <w:pPr>
        <w:numPr>
          <w:ilvl w:val="0"/>
          <w:numId w:val="1001"/>
        </w:numPr>
        <w:pStyle w:val="Compact"/>
      </w:pPr>
      <w:r>
        <w:t xml:space="preserve">The Electrician provides a warranty of twenty-four (24) months on all labor and materials from the date of final acceptance. Any defects discovered during the warranty period shall be rectified by the Electrician at no additional cost within seven (7) working days.</w:t>
      </w:r>
    </w:p>
    <w:p>
      <w:pPr>
        <w:numPr>
          <w:ilvl w:val="0"/>
          <w:numId w:val="1001"/>
        </w:numPr>
        <w:pStyle w:val="Compact"/>
      </w:pPr>
      <w:r>
        <w:t xml:space="preserve">The Electrician shall maintain valid professional indemnity insurance and workers' compensation coverage throughout the duration of the contract, as mandated for all licensed Electrician contractors operating in Qatar Doha.</w:t>
      </w:r>
    </w:p>
    <w:p>
      <w:pPr>
        <w:numPr>
          <w:ilvl w:val="0"/>
          <w:numId w:val="1001"/>
        </w:numPr>
        <w:pStyle w:val="Compact"/>
      </w:pPr>
      <w:r>
        <w:t xml:space="preserve">The project completion deadline is 30 September 2025. Delays attributable to the Electrician shall incur a penalty of 0.5% of the total Purchase Order value per calendar day of delay, capped at 10%.</w:t>
      </w:r>
    </w:p>
    <w:p>
      <w:pPr>
        <w:numPr>
          <w:ilvl w:val="0"/>
          <w:numId w:val="1001"/>
        </w:numPr>
        <w:pStyle w:val="Compact"/>
      </w:pPr>
      <w:r>
        <w:t xml:space="preserve">Disputes arising from this Purchase Order shall be resolved through arbitration in Doha, Qatar, in accordance with the Qatar Arbitration Law No. 2 of 2017. The governing law is the law of the State of Qatar.</w:t>
      </w:r>
    </w:p>
    <w:p>
      <w:pPr>
        <w:numPr>
          <w:ilvl w:val="0"/>
          <w:numId w:val="1001"/>
        </w:numPr>
        <w:pStyle w:val="Compact"/>
      </w:pPr>
      <w:r>
        <w:t xml:space="preserve">The Electrician shall adhere to all health, safety, and environmental (HSE) protocols on site, including but not limited to PPE requirements, hot work permits, and lockout/tagout procedures as enforced in Qatar Doha construction zones.</w:t>
      </w:r>
    </w:p>
    <w:p>
      <w:pPr>
        <w:numPr>
          <w:ilvl w:val="0"/>
          <w:numId w:val="1001"/>
        </w:numPr>
        <w:pStyle w:val="Compact"/>
      </w:pPr>
      <w:r>
        <w:t xml:space="preserve">This Purchase Order may only be amended in writing, signed by authorized representatives of both parties. Verbal modifications are not valid.</w:t>
      </w:r>
    </w:p>
    <w:bookmarkEnd w:id="24"/>
    <w:bookmarkStart w:id="25" w:name="authorization-acceptance"/>
    <w:p>
      <w:pPr>
        <w:pStyle w:val="Heading2"/>
      </w:pPr>
      <w:r>
        <w:t xml:space="preserve">Authorization &amp; Acceptance</w:t>
      </w:r>
    </w:p>
    <w:tbl>
      <w:tblPr>
        <w:tblStyle w:val="Table"/>
        <w:tblW w:type="pct" w:w="5000"/>
        <w:tblLook w:firstRow="0" w:lastRow="0" w:firstColumn="0" w:lastColumn="0" w:noHBand="0" w:noVBand="0" w:val="0000"/>
      </w:tblPr>
      <w:tblGrid>
        <w:gridCol w:w="3960"/>
        <w:gridCol w:w="3960"/>
      </w:tblGrid>
      <w:tr>
        <w:tc>
          <w:tcPr/>
          <w:p>
            <w:pPr>
              <w:jc w:val="left"/>
            </w:pPr>
            <w:r>
              <w:rPr>
                <w:bCs/>
                <w:b/>
              </w:rPr>
              <w:t xml:space="preserve">For and on behalf of the Buyer:</w:t>
            </w:r>
          </w:p>
          <w:p>
            <w:pPr>
              <w:jc w:val="left"/>
            </w:pPr>
            <w:r>
              <w:t xml:space="preserve">Al Noor Construction &amp; Facilities Management LLC</w:t>
            </w:r>
          </w:p>
          <w:p>
            <w:pPr>
              <w:jc w:val="left"/>
            </w:pPr>
            <w:r>
              <w:t xml:space="preserve">Name: Eng. Salem Al-Thani</w:t>
            </w:r>
          </w:p>
          <w:p>
            <w:pPr>
              <w:jc w:val="left"/>
            </w:pPr>
            <w:r>
              <w:t xml:space="preserve">Designation: Procurement Manager</w:t>
            </w:r>
          </w:p>
          <w:p>
            <w:pPr>
              <w:jc w:val="left"/>
            </w:pPr>
            <w:r>
              <w:t xml:space="preserve">Date: _______________</w:t>
            </w:r>
          </w:p>
          <w:p>
            <w:pPr>
              <w:jc w:val="left"/>
            </w:pPr>
            <w:r>
              <w:t xml:space="preserve">Signature &amp; Company Stamp:</w:t>
            </w:r>
          </w:p>
        </w:tc>
        <w:tc>
          <w:tcPr/>
          <w:p>
            <w:pPr>
              <w:jc w:val="left"/>
            </w:pPr>
            <w:r>
              <w:rPr>
                <w:bCs/>
                <w:b/>
              </w:rPr>
              <w:t xml:space="preserve">For and on behalf of the Electrician / Vendor:</w:t>
            </w:r>
          </w:p>
          <w:p>
            <w:pPr>
              <w:jc w:val="left"/>
            </w:pPr>
            <w:r>
              <w:t xml:space="preserve">Gulf Star Electrical Contracting WLL</w:t>
            </w:r>
          </w:p>
          <w:p>
            <w:pPr>
              <w:jc w:val="left"/>
            </w:pPr>
            <w:r>
              <w:t xml:space="preserve">Name: Mr. Khalid Al-Mansoori</w:t>
            </w:r>
          </w:p>
          <w:p>
            <w:pPr>
              <w:jc w:val="left"/>
            </w:pPr>
            <w:r>
              <w:t xml:space="preserve">Designation: Lead Electrician / Authorized Signatory</w:t>
            </w:r>
          </w:p>
          <w:p>
            <w:pPr>
              <w:jc w:val="left"/>
            </w:pPr>
            <w:r>
              <w:t xml:space="preserve">Date: _______________</w:t>
            </w:r>
          </w:p>
          <w:p>
            <w:pPr>
              <w:jc w:val="left"/>
            </w:pPr>
            <w:r>
              <w:t xml:space="preserve">Signature &amp; Company Stamp:</w:t>
            </w:r>
          </w:p>
        </w:tc>
      </w:tr>
    </w:tbl>
    <w:bookmarkEnd w:id="25"/>
    <w:p>
      <w:pPr>
        <w:pStyle w:val="BodyText"/>
      </w:pPr>
      <w:r>
        <w:t xml:space="preserve">This Purchase Order (PO-2025-QD-00847) is issued for electrical contracting services in Qatar Doha. The Electrician named herein is fully licensed and registered with the Ministry of Municipality (MOIAT) and the Qatar Electricity &amp; Water Authority. All work shall be performed within the State of Qatar, Doha metropolitan area. This document is valid for 30 calendar days from the date of issue. For inquiries, contact the Procurement Department at procurement@alnoor-qatar.com or +974-4455-6677. Unauthorized reproduction or distribution of this Purchase Order is prohibited.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Electrician Services - Qatar Doha</dc:title>
  <dc:creator/>
  <dc:language>en</dc:language>
  <cp:keywords/>
  <dcterms:created xsi:type="dcterms:W3CDTF">2026-10-10T06:10:55Z</dcterms:created>
  <dcterms:modified xsi:type="dcterms:W3CDTF">2026-10-10T06:10:55Z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