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Miami</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PO-2025-MIA-04872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r>
        <w:br/>
      </w:r>
      <w:r>
        <w:rPr>
          <w:bCs/>
          <w:b/>
        </w:rPr>
        <w:t xml:space="preserve">Country of Origin:</w:t>
      </w:r>
      <w:r>
        <w:t xml:space="preserve"> </w:t>
      </w:r>
      <w:r>
        <w:t xml:space="preserve">United States Miami</w:t>
      </w:r>
    </w:p>
    <w:p>
      <w:pPr>
        <w:pStyle w:val="BodyText"/>
      </w:pPr>
      <w:r>
        <w:rPr>
          <w:bCs/>
          <w:b/>
        </w:rPr>
        <w:t xml:space="preserve">Page:</w:t>
      </w:r>
      <w:r>
        <w:t xml:space="preserve"> </w:t>
      </w:r>
      <w:r>
        <w:t xml:space="preserve">1 of 1</w:t>
      </w:r>
      <w:r>
        <w:br/>
      </w:r>
      <w:r>
        <w:rPr>
          <w:bCs/>
          <w:b/>
        </w:rPr>
        <w:t xml:space="preserve">Classification:</w:t>
      </w:r>
      <w:r>
        <w:t xml:space="preserve"> </w:t>
      </w:r>
      <w:r>
        <w:t xml:space="preserve">Commercial / Residential</w:t>
      </w:r>
      <w:r>
        <w:br/>
      </w:r>
      <w:r>
        <w:rPr>
          <w:bCs/>
          <w:b/>
        </w:rPr>
        <w:t xml:space="preserve">Region:</w:t>
      </w:r>
      <w:r>
        <w:t xml:space="preserve"> </w:t>
      </w:r>
      <w:r>
        <w:t xml:space="preserve">United States Miami, FL 33101</w:t>
      </w:r>
    </w:p>
    <w:bookmarkStart w:id="20"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gridSpan w:val="2"/>
          </w:tcPr>
          <w:p>
            <w:pPr>
              <w:pStyle w:val="Compact"/>
              <w:jc w:val="left"/>
            </w:pPr>
            <w:r>
              <w:t xml:space="preserve">Buyer (Purchasing Entity)</w:t>
            </w:r>
          </w:p>
        </w:tc>
        <w:tc>
          <w:tcPr>
            <w:gridSpan w:val="2"/>
          </w:tcPr>
          <w:p>
            <w:pPr>
              <w:pStyle w:val="Compact"/>
              <w:jc w:val="left"/>
            </w:pPr>
            <w:r>
              <w:t xml:space="preserve">Seller (Service Provider)</w:t>
            </w:r>
          </w:p>
        </w:tc>
      </w:tr>
      <w:tr>
        <w:tc>
          <w:tcPr/>
          <w:p>
            <w:pPr>
              <w:pStyle w:val="Compact"/>
              <w:jc w:val="left"/>
            </w:pPr>
            <w:r>
              <w:rPr>
                <w:bCs/>
                <w:b/>
              </w:rPr>
              <w:t xml:space="preserve">Company Name:</w:t>
            </w:r>
          </w:p>
        </w:tc>
        <w:tc>
          <w:tcPr/>
          <w:p>
            <w:pPr>
              <w:pStyle w:val="Compact"/>
              <w:jc w:val="left"/>
            </w:pPr>
            <w:r>
              <w:t xml:space="preserve">Biscayne Bay Properties LLC</w:t>
            </w:r>
          </w:p>
        </w:tc>
        <w:tc>
          <w:tcPr/>
          <w:p>
            <w:pPr>
              <w:pStyle w:val="Compact"/>
              <w:jc w:val="left"/>
            </w:pPr>
            <w:r>
              <w:rPr>
                <w:bCs/>
                <w:b/>
              </w:rPr>
              <w:t xml:space="preserve">Company Name:</w:t>
            </w:r>
          </w:p>
        </w:tc>
        <w:tc>
          <w:tcPr/>
          <w:p>
            <w:pPr>
              <w:pStyle w:val="Compact"/>
              <w:jc w:val="left"/>
            </w:pPr>
            <w:r>
              <w:t xml:space="preserve">Lightning Edge Electric Services, Inc.</w:t>
            </w:r>
          </w:p>
        </w:tc>
      </w:tr>
      <w:tr>
        <w:tc>
          <w:tcPr/>
          <w:p>
            <w:pPr>
              <w:pStyle w:val="Compact"/>
              <w:jc w:val="left"/>
            </w:pPr>
            <w:r>
              <w:rPr>
                <w:bCs/>
                <w:b/>
              </w:rPr>
              <w:t xml:space="preserve">Address:</w:t>
            </w:r>
          </w:p>
        </w:tc>
        <w:tc>
          <w:tcPr/>
          <w:p>
            <w:pPr>
              <w:pStyle w:val="Compact"/>
              <w:jc w:val="left"/>
            </w:pPr>
            <w:r>
              <w:t xml:space="preserve">1200 Biscayne Blvd, Suite 450, United States Miami, FL 33132</w:t>
            </w:r>
          </w:p>
        </w:tc>
        <w:tc>
          <w:tcPr/>
          <w:p>
            <w:pPr>
              <w:pStyle w:val="Compact"/>
              <w:jc w:val="left"/>
            </w:pPr>
            <w:r>
              <w:rPr>
                <w:bCs/>
                <w:b/>
              </w:rPr>
              <w:t xml:space="preserve">Address:</w:t>
            </w:r>
          </w:p>
        </w:tc>
        <w:tc>
          <w:tcPr/>
          <w:p>
            <w:pPr>
              <w:pStyle w:val="Compact"/>
              <w:jc w:val="left"/>
            </w:pPr>
            <w:r>
              <w:t xml:space="preserve">8750 NW 27th Ave, United States Miami, FL 33142</w:t>
            </w:r>
          </w:p>
        </w:tc>
      </w:tr>
      <w:tr>
        <w:tc>
          <w:tcPr/>
          <w:p>
            <w:pPr>
              <w:pStyle w:val="Compact"/>
              <w:jc w:val="left"/>
            </w:pPr>
            <w:r>
              <w:rPr>
                <w:bCs/>
                <w:b/>
              </w:rPr>
              <w:t xml:space="preserve">Contact Person:</w:t>
            </w:r>
          </w:p>
        </w:tc>
        <w:tc>
          <w:tcPr/>
          <w:p>
            <w:pPr>
              <w:pStyle w:val="Compact"/>
              <w:jc w:val="left"/>
            </w:pPr>
            <w:r>
              <w:t xml:space="preserve">Mr. Daniel Reyes, Facilities Director</w:t>
            </w:r>
          </w:p>
        </w:tc>
        <w:tc>
          <w:tcPr/>
          <w:p>
            <w:pPr>
              <w:pStyle w:val="Compact"/>
              <w:jc w:val="left"/>
            </w:pPr>
            <w:r>
              <w:rPr>
                <w:bCs/>
                <w:b/>
              </w:rPr>
              <w:t xml:space="preserve">Contact Person:</w:t>
            </w:r>
          </w:p>
        </w:tc>
        <w:tc>
          <w:tcPr/>
          <w:p>
            <w:pPr>
              <w:pStyle w:val="Compact"/>
              <w:jc w:val="left"/>
            </w:pPr>
            <w:r>
              <w:t xml:space="preserve">Ms. Carmen Alvarez, Lead Electrician &amp; Project Manager</w:t>
            </w:r>
          </w:p>
        </w:tc>
      </w:tr>
      <w:tr>
        <w:tc>
          <w:tcPr/>
          <w:p>
            <w:pPr>
              <w:pStyle w:val="Compact"/>
              <w:jc w:val="left"/>
            </w:pPr>
            <w:r>
              <w:rPr>
                <w:bCs/>
                <w:b/>
              </w:rPr>
              <w:t xml:space="preserve">Phone:</w:t>
            </w:r>
          </w:p>
        </w:tc>
        <w:tc>
          <w:tcPr/>
          <w:p>
            <w:pPr>
              <w:pStyle w:val="Compact"/>
              <w:jc w:val="left"/>
            </w:pPr>
            <w:r>
              <w:t xml:space="preserve">(305) 555-0198</w:t>
            </w:r>
          </w:p>
        </w:tc>
        <w:tc>
          <w:tcPr/>
          <w:p>
            <w:pPr>
              <w:pStyle w:val="Compact"/>
              <w:jc w:val="left"/>
            </w:pPr>
            <w:r>
              <w:rPr>
                <w:bCs/>
                <w:b/>
              </w:rPr>
              <w:t xml:space="preserve">Phone:</w:t>
            </w:r>
          </w:p>
        </w:tc>
        <w:tc>
          <w:tcPr/>
          <w:p>
            <w:pPr>
              <w:pStyle w:val="Compact"/>
              <w:jc w:val="left"/>
            </w:pPr>
            <w:r>
              <w:t xml:space="preserve">(305) 555-0442</w:t>
            </w:r>
          </w:p>
        </w:tc>
      </w:tr>
      <w:tr>
        <w:tc>
          <w:tcPr/>
          <w:p>
            <w:pPr>
              <w:pStyle w:val="Compact"/>
              <w:jc w:val="left"/>
            </w:pPr>
            <w:r>
              <w:rPr>
                <w:bCs/>
                <w:b/>
              </w:rPr>
              <w:t xml:space="preserve">Email:</w:t>
            </w:r>
          </w:p>
        </w:tc>
        <w:tc>
          <w:tcPr/>
          <w:p>
            <w:pPr>
              <w:pStyle w:val="Compact"/>
              <w:jc w:val="left"/>
            </w:pPr>
            <w:r>
              <w:t xml:space="preserve">d.reyes@biscaynebayproperties.com</w:t>
            </w:r>
          </w:p>
        </w:tc>
        <w:tc>
          <w:tcPr/>
          <w:p>
            <w:pPr>
              <w:pStyle w:val="Compact"/>
              <w:jc w:val="left"/>
            </w:pPr>
            <w:r>
              <w:rPr>
                <w:bCs/>
                <w:b/>
              </w:rPr>
              <w:t xml:space="preserve">Email:</w:t>
            </w:r>
          </w:p>
        </w:tc>
        <w:tc>
          <w:tcPr/>
          <w:p>
            <w:pPr>
              <w:pStyle w:val="Compact"/>
              <w:jc w:val="left"/>
            </w:pPr>
            <w:r>
              <w:t xml:space="preserve">c.alvarez@lightningedgeelectric.com</w:t>
            </w:r>
          </w:p>
        </w:tc>
      </w:tr>
      <w:tr>
        <w:tc>
          <w:tcPr/>
          <w:p>
            <w:pPr>
              <w:pStyle w:val="Compact"/>
              <w:jc w:val="left"/>
            </w:pPr>
            <w:r>
              <w:rPr>
                <w:bCs/>
                <w:b/>
              </w:rPr>
              <w:t xml:space="preserve">Tax ID / EIN:</w:t>
            </w:r>
          </w:p>
        </w:tc>
        <w:tc>
          <w:tcPr/>
          <w:p>
            <w:pPr>
              <w:pStyle w:val="Compact"/>
              <w:jc w:val="left"/>
            </w:pPr>
            <w:r>
              <w:t xml:space="preserve">82-4471903</w:t>
            </w:r>
          </w:p>
        </w:tc>
        <w:tc>
          <w:tcPr/>
          <w:p>
            <w:pPr>
              <w:pStyle w:val="Compact"/>
              <w:jc w:val="left"/>
            </w:pPr>
            <w:r>
              <w:rPr>
                <w:bCs/>
                <w:b/>
              </w:rPr>
              <w:t xml:space="preserve">Tax ID / EIN:</w:t>
            </w:r>
          </w:p>
        </w:tc>
        <w:tc>
          <w:tcPr/>
          <w:p>
            <w:pPr>
              <w:pStyle w:val="Compact"/>
              <w:jc w:val="left"/>
            </w:pPr>
            <w:r>
              <w:t xml:space="preserve">59-8823417</w:t>
            </w:r>
          </w:p>
        </w:tc>
      </w:tr>
      <w:tr>
        <w:tc>
          <w:tcPr/>
          <w:p>
            <w:pPr>
              <w:pStyle w:val="Compact"/>
              <w:jc w:val="left"/>
            </w:pPr>
            <w:r>
              <w:rPr>
                <w:bCs/>
                <w:b/>
              </w:rPr>
              <w:t xml:space="preserve">FL Contractor License:</w:t>
            </w:r>
          </w:p>
        </w:tc>
        <w:tc>
          <w:tcPr/>
          <w:p>
            <w:pPr>
              <w:pStyle w:val="Compact"/>
              <w:jc w:val="left"/>
            </w:pPr>
            <w:r>
              <w:t xml:space="preserve">N/A (Owner)</w:t>
            </w:r>
          </w:p>
        </w:tc>
        <w:tc>
          <w:tcPr/>
          <w:p>
            <w:pPr>
              <w:pStyle w:val="Compact"/>
              <w:jc w:val="left"/>
            </w:pPr>
            <w:r>
              <w:rPr>
                <w:bCs/>
                <w:b/>
              </w:rPr>
              <w:t xml:space="preserve">FL Contractor License:</w:t>
            </w:r>
          </w:p>
        </w:tc>
        <w:tc>
          <w:tcPr/>
          <w:p>
            <w:pPr>
              <w:pStyle w:val="Compact"/>
              <w:jc w:val="left"/>
            </w:pPr>
            <w:r>
              <w:t xml:space="preserve">EC1338472 (Licensed Electrician, State of Florida)</w:t>
            </w:r>
          </w:p>
        </w:tc>
      </w:tr>
    </w:tbl>
    <w:bookmarkEnd w:id="20"/>
    <w:bookmarkStart w:id="21" w:name="X310ab123f4d0d754f6b3a4d9c418803989ff3a0"/>
    <w:p>
      <w:pPr>
        <w:pStyle w:val="Heading2"/>
      </w:pPr>
      <w:r>
        <w:t xml:space="preserve">2. SCOPE OF WORK AND DESCRIPTION OF SERVICES</w:t>
      </w:r>
    </w:p>
    <w:p>
      <w:pPr>
        <w:pStyle w:val="FirstParagraph"/>
      </w:pPr>
      <w:r>
        <w:t xml:space="preserve">This Purchase Order is issued by Biscayne Bay Properties LLC to Lightning Edge Electric Services, Inc. for the provision of comprehensive electrical installation, inspection, and maintenance services at the buyer's commercial property located at 1200 Biscayne Blvd, United States Miami, FL 33132. The Electrician and all subordinate electricians engaged under this Purchase Order shall perform all work in strict compliance with the National Electrical Code (NEC) 2023, the Florida Building Code – Electrical (FBC-E), and all applicable municipal codes and ordinances of the City of Miami, United States Miami. The Electrician shall hold a valid Florida Class A Electrical Contractor license and shall ensure that all personnel performing hands-on electrical work are certified journeyman or master electricians in good standing with the Florida Department of Business and Professional Regulation.</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Complete electrical panel upgrade from 200A to 400A service; includes new main breaker panel, bus bars, and conduit routing. Electrician to coordinate with Miami-Dade Electric for service upgrade approval.</w:t>
            </w:r>
          </w:p>
        </w:tc>
        <w:tc>
          <w:tcPr/>
          <w:p>
            <w:pPr>
              <w:pStyle w:val="Compact"/>
              <w:jc w:val="left"/>
            </w:pPr>
            <w:r>
              <w:t xml:space="preserve">1</w:t>
            </w:r>
          </w:p>
        </w:tc>
        <w:tc>
          <w:tcPr/>
          <w:p>
            <w:pPr>
              <w:pStyle w:val="Compact"/>
              <w:jc w:val="left"/>
            </w:pPr>
            <w:r>
              <w:t xml:space="preserve">Lot</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002</w:t>
            </w:r>
          </w:p>
        </w:tc>
        <w:tc>
          <w:tcPr/>
          <w:p>
            <w:pPr>
              <w:pStyle w:val="Compact"/>
              <w:jc w:val="left"/>
            </w:pPr>
            <w:r>
              <w:t xml:space="preserve">Installation of 48 new LED high-bay fixtures (150W) across the ground-floor retail space; includes wiring, junction boxes, and mounting hardware. Electrician to provide photometric layout prior to installation.</w:t>
            </w:r>
          </w:p>
        </w:tc>
        <w:tc>
          <w:tcPr/>
          <w:p>
            <w:pPr>
              <w:pStyle w:val="Compact"/>
              <w:jc w:val="left"/>
            </w:pPr>
            <w:r>
              <w:t xml:space="preserve">48</w:t>
            </w:r>
          </w:p>
        </w:tc>
        <w:tc>
          <w:tcPr/>
          <w:p>
            <w:pPr>
              <w:pStyle w:val="Compact"/>
              <w:jc w:val="left"/>
            </w:pPr>
            <w:r>
              <w:t xml:space="preserve">Each</w:t>
            </w:r>
          </w:p>
        </w:tc>
        <w:tc>
          <w:tcPr/>
          <w:p>
            <w:pPr>
              <w:pStyle w:val="Compact"/>
              <w:jc w:val="left"/>
            </w:pPr>
            <w:r>
              <w:t xml:space="preserve">$385.00</w:t>
            </w:r>
          </w:p>
        </w:tc>
        <w:tc>
          <w:tcPr/>
          <w:p>
            <w:pPr>
              <w:pStyle w:val="Compact"/>
              <w:jc w:val="left"/>
            </w:pPr>
            <w:r>
              <w:t xml:space="preserve">$18,480.00</w:t>
            </w:r>
          </w:p>
        </w:tc>
      </w:tr>
      <w:tr>
        <w:tc>
          <w:tcPr/>
          <w:p>
            <w:pPr>
              <w:pStyle w:val="Compact"/>
              <w:jc w:val="left"/>
            </w:pPr>
            <w:r>
              <w:t xml:space="preserve">003</w:t>
            </w:r>
          </w:p>
        </w:tc>
        <w:tc>
          <w:tcPr/>
          <w:p>
            <w:pPr>
              <w:pStyle w:val="Compact"/>
              <w:jc w:val="left"/>
            </w:pPr>
            <w:r>
              <w:t xml:space="preserve">Emergency lighting and exit sign installation per Miami Fire Rescue Department (MFRD) code requirements; 22 units total including battery backup systems.</w:t>
            </w:r>
          </w:p>
        </w:tc>
        <w:tc>
          <w:tcPr/>
          <w:p>
            <w:pPr>
              <w:pStyle w:val="Compact"/>
              <w:jc w:val="left"/>
            </w:pPr>
            <w:r>
              <w:t xml:space="preserve">22</w:t>
            </w:r>
          </w:p>
        </w:tc>
        <w:tc>
          <w:tcPr/>
          <w:p>
            <w:pPr>
              <w:pStyle w:val="Compact"/>
              <w:jc w:val="left"/>
            </w:pPr>
            <w:r>
              <w:t xml:space="preserve">Each</w:t>
            </w:r>
          </w:p>
        </w:tc>
        <w:tc>
          <w:tcPr/>
          <w:p>
            <w:pPr>
              <w:pStyle w:val="Compact"/>
              <w:jc w:val="left"/>
            </w:pPr>
            <w:r>
              <w:t xml:space="preserve">$210.00</w:t>
            </w:r>
          </w:p>
        </w:tc>
        <w:tc>
          <w:tcPr/>
          <w:p>
            <w:pPr>
              <w:pStyle w:val="Compact"/>
              <w:jc w:val="left"/>
            </w:pPr>
            <w:r>
              <w:t xml:space="preserve">$4,620.00</w:t>
            </w:r>
          </w:p>
        </w:tc>
      </w:tr>
      <w:tr>
        <w:tc>
          <w:tcPr/>
          <w:p>
            <w:pPr>
              <w:pStyle w:val="Compact"/>
              <w:jc w:val="left"/>
            </w:pPr>
            <w:r>
              <w:t xml:space="preserve">004</w:t>
            </w:r>
          </w:p>
        </w:tc>
        <w:tc>
          <w:tcPr/>
          <w:p>
            <w:pPr>
              <w:pStyle w:val="Compact"/>
              <w:jc w:val="left"/>
            </w:pPr>
            <w:r>
              <w:t xml:space="preserve">Installation of 12 dedicated 240V circuits for commercial kitchen equipment; includes heavy-gauge wiring, GFCI protection, and dedicated disconnects.</w:t>
            </w:r>
          </w:p>
        </w:tc>
        <w:tc>
          <w:tcPr/>
          <w:p>
            <w:pPr>
              <w:pStyle w:val="Compact"/>
              <w:jc w:val="left"/>
            </w:pPr>
            <w:r>
              <w:t xml:space="preserve">12</w:t>
            </w:r>
          </w:p>
        </w:tc>
        <w:tc>
          <w:tcPr/>
          <w:p>
            <w:pPr>
              <w:pStyle w:val="Compact"/>
              <w:jc w:val="left"/>
            </w:pPr>
            <w:r>
              <w:t xml:space="preserve">Circuit</w:t>
            </w:r>
          </w:p>
        </w:tc>
        <w:tc>
          <w:tcPr/>
          <w:p>
            <w:pPr>
              <w:pStyle w:val="Compact"/>
              <w:jc w:val="left"/>
            </w:pPr>
            <w:r>
              <w:t xml:space="preserve">$1,150.00</w:t>
            </w:r>
          </w:p>
        </w:tc>
        <w:tc>
          <w:tcPr/>
          <w:p>
            <w:pPr>
              <w:pStyle w:val="Compact"/>
              <w:jc w:val="left"/>
            </w:pPr>
            <w:r>
              <w:t xml:space="preserve">$13,800.00</w:t>
            </w:r>
          </w:p>
        </w:tc>
      </w:tr>
      <w:tr>
        <w:tc>
          <w:tcPr/>
          <w:p>
            <w:pPr>
              <w:pStyle w:val="Compact"/>
              <w:jc w:val="left"/>
            </w:pPr>
            <w:r>
              <w:t xml:space="preserve">005</w:t>
            </w:r>
          </w:p>
        </w:tc>
        <w:tc>
          <w:tcPr/>
          <w:p>
            <w:pPr>
              <w:pStyle w:val="Compact"/>
              <w:jc w:val="left"/>
            </w:pPr>
            <w:r>
              <w:t xml:space="preserve">Whole-building surge protection system installation at main panel and sub-panels; includes Type 1 and Type 2 SPDs rated for Miami coastal lightning exposure.</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006</w:t>
            </w:r>
          </w:p>
        </w:tc>
        <w:tc>
          <w:tcPr/>
          <w:p>
            <w:pPr>
              <w:pStyle w:val="Compact"/>
              <w:jc w:val="left"/>
            </w:pPr>
            <w:r>
              <w:t xml:space="preserve">Thermal imaging inspection of all existing electrical panels, connections, and distribution lines; written report with corrective action recommendations delivered within 5 business days.</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007</w:t>
            </w:r>
          </w:p>
        </w:tc>
        <w:tc>
          <w:tcPr/>
          <w:p>
            <w:pPr>
              <w:pStyle w:val="Compact"/>
              <w:jc w:val="left"/>
            </w:pPr>
            <w:r>
              <w:t xml:space="preserve">Permitting, code inspection coordination, and final sign-off with the City of Miami Building Department and Miami-Dade Electric. Electrician to attend all required inspections in person.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$1,900.00</w:t>
            </w:r>
          </w:p>
        </w:tc>
        <w:tc>
          <w:tcPr/>
          <w:p>
            <w:pPr>
              <w:pStyle w:val="Compact"/>
              <w:jc w:val="left"/>
            </w:pPr>
            <w:r>
              <w:t xml:space="preserve">$1,900.00</w:t>
            </w:r>
          </w:p>
        </w:tc>
      </w:tr>
      <w:tr>
        <w:tc>
          <w:tcPr/>
          <w:p>
            <w:pPr>
              <w:pStyle w:val="Compact"/>
              <w:jc w:val="left"/>
            </w:pPr>
            <w:r>
              <w:t xml:space="preserve">008</w:t>
            </w:r>
          </w:p>
        </w:tc>
        <w:tc>
          <w:tcPr/>
          <w:p>
            <w:pPr>
              <w:pStyle w:val="Compact"/>
              <w:jc w:val="left"/>
            </w:pPr>
            <w:r>
              <w:t xml:space="preserve">Post-installation 12-month warranty and maintenance plan; includes two scheduled preventive maintenance visits per year by the assigned Electrician team.</w:t>
            </w:r>
          </w:p>
        </w:tc>
        <w:tc>
          <w:tcPr/>
          <w:p>
            <w:pPr>
              <w:pStyle w:val="Compact"/>
              <w:jc w:val="left"/>
            </w:pPr>
            <w:r>
              <w:t xml:space="preserve">1</w:t>
            </w:r>
          </w:p>
        </w:tc>
        <w:tc>
          <w:tcPr/>
          <w:p>
            <w:pPr>
              <w:pStyle w:val="Compact"/>
              <w:jc w:val="left"/>
            </w:pPr>
            <w:r>
              <w:t xml:space="preserve">Year</w:t>
            </w:r>
          </w:p>
        </w:tc>
        <w:tc>
          <w:tcPr/>
          <w:p>
            <w:pPr>
              <w:pStyle w:val="Compact"/>
              <w:jc w:val="left"/>
            </w:pPr>
            <w:r>
              <w:t xml:space="preserve">$2,400.00</w:t>
            </w:r>
          </w:p>
        </w:tc>
        <w:tc>
          <w:tcPr/>
          <w:p>
            <w:pPr>
              <w:pStyle w:val="Compact"/>
              <w:jc w:val="left"/>
            </w:pPr>
            <w:r>
              <w:t xml:space="preserve">$2,400.00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5"/>
          </w:tcPr>
          <w:p>
            <w:pPr>
              <w:pStyle w:val="Compact"/>
              <w:jc w:val="right"/>
            </w:pPr>
            <w:r>
              <w:t xml:space="preserve">Subtotal</w:t>
            </w:r>
          </w:p>
        </w:tc>
        <w:tc>
          <w:tcPr/>
          <w:p>
            <w:pPr>
              <w:pStyle w:val="Compact"/>
              <w:jc w:val="left"/>
            </w:pPr>
            <w:r>
              <w:t xml:space="preserve">$60,700.00</w:t>
            </w:r>
          </w:p>
        </w:tc>
      </w:tr>
      <w:tr>
        <w:tc>
          <w:tcPr>
            <w:gridSpan w:val="5"/>
          </w:tcPr>
          <w:p>
            <w:pPr>
              <w:pStyle w:val="Compact"/>
              <w:jc w:val="right"/>
            </w:pPr>
            <w:r>
              <w:t xml:space="preserve">Florida State Sales Tax (7%)</w:t>
            </w:r>
          </w:p>
        </w:tc>
        <w:tc>
          <w:tcPr/>
          <w:p>
            <w:pPr>
              <w:pStyle w:val="Compact"/>
              <w:jc w:val="left"/>
            </w:pPr>
            <w:r>
              <w:t xml:space="preserve">$4,249.00</w:t>
            </w:r>
          </w:p>
        </w:tc>
      </w:tr>
      <w:tr>
        <w:tc>
          <w:tcPr>
            <w:gridSpan w:val="5"/>
          </w:tcPr>
          <w:p>
            <w:pPr>
              <w:pStyle w:val="Compact"/>
              <w:jc w:val="right"/>
            </w:pPr>
            <w:r>
              <w:t xml:space="preserve">Miami-Dade County Surcharge (0.5%)</w:t>
            </w:r>
          </w:p>
        </w:tc>
        <w:tc>
          <w:tcPr/>
          <w:p>
            <w:pPr>
              <w:pStyle w:val="Compact"/>
              <w:jc w:val="left"/>
            </w:pPr>
            <w:r>
              <w:t xml:space="preserve">$303.50</w:t>
            </w:r>
          </w:p>
        </w:tc>
      </w:tr>
      <w:tr>
        <w:tc>
          <w:tcPr>
            <w:gridSpan w:val="5"/>
          </w:tcPr>
          <w:p>
            <w:pPr>
              <w:pStyle w:val="Compact"/>
              <w:jc w:val="right"/>
            </w:pPr>
            <w:r>
              <w:t xml:space="preserve">TOTAL PURCHASE ORDER AMOUNT (USD)</w:t>
            </w:r>
          </w:p>
        </w:tc>
        <w:tc>
          <w:tcPr/>
          <w:p>
            <w:pPr>
              <w:pStyle w:val="Compact"/>
              <w:jc w:val="left"/>
            </w:pPr>
            <w:r>
              <w:t xml:space="preserve">$65,252.50</w:t>
            </w:r>
          </w:p>
        </w:tc>
      </w:tr>
    </w:tbl>
    <w:bookmarkEnd w:id="22"/>
    <w:bookmarkStart w:id="23" w:name="terms-and-conditions"/>
    <w:p>
      <w:pPr>
        <w:pStyle w:val="Heading2"/>
      </w:pPr>
      <w:r>
        <w:t xml:space="preserve">4. TERMS AND CONDITIONS</w:t>
      </w:r>
    </w:p>
    <w:p>
      <w:pPr>
        <w:pStyle w:val="FirstParagraph"/>
      </w:pPr>
      <w:r>
        <w:rPr>
          <w:bCs/>
          <w:b/>
        </w:rPr>
        <w:t xml:space="preserve">4.1 Payment Terms:</w:t>
      </w:r>
      <w:r>
        <w:t xml:space="preserve"> </w:t>
      </w:r>
      <w:r>
        <w:t xml:space="preserve">Payment shall be made within thirty (30) days of receipt of a valid invoice from the Electrician. A 50% deposit is due upon execution of this Purchase Order. The remaining 50% shall be due upon successful completion of all work, final inspection sign-off by the City of Miami, and delivery of the as-built electrical drawings. Late payments shall accrue interest at 1.5% per month.</w:t>
      </w:r>
    </w:p>
    <w:p>
      <w:pPr>
        <w:pStyle w:val="BodyText"/>
      </w:pPr>
      <w:r>
        <w:rPr>
          <w:bCs/>
          <w:b/>
        </w:rPr>
        <w:t xml:space="preserve">4.2 Schedule and Milestones:</w:t>
      </w:r>
      <w:r>
        <w:t xml:space="preserve"> </w:t>
      </w:r>
      <w:r>
        <w:t xml:space="preserve">The Electrician shall mobilize on-site no later than June 23, 2025. All installation work shall be completed by August 15, 2025. Final inspections and punch-list resolution shall be completed by August 29, 2025. The Electrician shall provide a detailed project schedule within five (5) business days of this Purchase Order's effective date.</w:t>
      </w:r>
    </w:p>
    <w:p>
      <w:pPr>
        <w:pStyle w:val="BodyText"/>
      </w:pPr>
      <w:r>
        <w:rPr>
          <w:bCs/>
          <w:b/>
        </w:rPr>
        <w:t xml:space="preserve">4.3 Compliance and Licensing:</w:t>
      </w:r>
      <w:r>
        <w:t xml:space="preserve"> </w:t>
      </w:r>
      <w:r>
        <w:t xml:space="preserve">The Electrician warrants that all work performed under this Purchase Order shall comply with the NEC 2023, Florida Building Code, and all City of Miami, United States Miami municipal regulations. The Electrician shall maintain all required licenses, insurance (minimum $2,000,000 general liability and $1,000,000 workers' compensation), and certifications throughout the duration of this engagement.</w:t>
      </w:r>
    </w:p>
    <w:p>
      <w:pPr>
        <w:pStyle w:val="BodyText"/>
      </w:pPr>
      <w:r>
        <w:rPr>
          <w:bCs/>
          <w:b/>
        </w:rPr>
        <w:t xml:space="preserve">4.4 Weather and Force Majeure:</w:t>
      </w:r>
      <w:r>
        <w:t xml:space="preserve"> </w:t>
      </w:r>
      <w:r>
        <w:t xml:space="preserve">Given the tropical climate of United States Miami, the Electrician shall account for potential delays caused by hurricane season, tropical storms, or extreme weather events. Delays exceeding five (5) business days due to declared weather emergencies shall extend the completion deadline on a day-for-day basis without penalty to either party.</w:t>
      </w:r>
    </w:p>
    <w:p>
      <w:pPr>
        <w:pStyle w:val="BodyText"/>
      </w:pPr>
      <w:r>
        <w:rPr>
          <w:bCs/>
          <w:b/>
        </w:rPr>
        <w:t xml:space="preserve">4.5 Change Orders:</w:t>
      </w:r>
      <w:r>
        <w:t xml:space="preserve"> </w:t>
      </w:r>
      <w:r>
        <w:t xml:space="preserve">Any modifications to the scope of work outlined in this Purchase Order must be documented in a written Change Order signed by both the Buyer's authorized representative and the Electrician's project manager before additional work commences.</w:t>
      </w:r>
    </w:p>
    <w:p>
      <w:pPr>
        <w:pStyle w:val="BodyText"/>
      </w:pPr>
      <w:r>
        <w:rPr>
          <w:bCs/>
          <w:b/>
        </w:rPr>
        <w:t xml:space="preserve">4.6 Dispute Resolution:</w:t>
      </w:r>
      <w:r>
        <w:t xml:space="preserve"> </w:t>
      </w:r>
      <w:r>
        <w:t xml:space="preserve">Any disputes arising from this Purchase Order shall be resolved through mediation in Miami-Dade County, United States Miami, in accordance with Florida Statutes Chapter 672. If mediation fails, binding arbitration shall take place in the City of Miami under the rules of the American Arbitration Association.</w:t>
      </w:r>
    </w:p>
    <w:p>
      <w:pPr>
        <w:pStyle w:val="BodyText"/>
      </w:pPr>
      <w:r>
        <w:rPr>
          <w:bCs/>
          <w:b/>
        </w:rPr>
        <w:t xml:space="preserve">4.7 Governing Law:</w:t>
      </w:r>
      <w:r>
        <w:t xml:space="preserve"> </w:t>
      </w:r>
      <w:r>
        <w:t xml:space="preserve">This Purchase Order shall be governed by and construed in accordance with the laws of the State of Florida and the federal laws of the United States applicable in Miami, Florida.</w:t>
      </w:r>
    </w:p>
    <w:bookmarkEnd w:id="23"/>
    <w:bookmarkStart w:id="24" w:name="authorized-signatures"/>
    <w:p>
      <w:pPr>
        <w:pStyle w:val="Heading2"/>
      </w:pPr>
      <w:r>
        <w:t xml:space="preserve">5. AUTHORIZED SIGNATURES</w:t>
      </w:r>
    </w:p>
    <w:p>
      <w:pPr>
        <w:pStyle w:val="FirstParagraph"/>
      </w:pPr>
      <w:r>
        <w:t xml:space="preserve">By signing below, both parties acknowledge and agree to all terms, conditions, and specifications set forth in this Purchase Order for Electrician services in United States Miami.</w:t>
      </w:r>
    </w:p>
    <w:p>
      <w:pPr>
        <w:pStyle w:val="BodyText"/>
      </w:pPr>
      <w:r>
        <w:rPr>
          <w:bCs/>
          <w:b/>
        </w:rPr>
        <w:t xml:space="preserve">BUYER – Biscayne Bay Properties LLC</w:t>
      </w:r>
      <w:r>
        <w:br/>
      </w:r>
      <w:r>
        <w:br/>
      </w:r>
      <w:r>
        <w:t xml:space="preserve">Signature: ______________________________</w:t>
      </w:r>
      <w:r>
        <w:br/>
      </w:r>
      <w:r>
        <w:t xml:space="preserve">Name: Daniel Reyes</w:t>
      </w:r>
      <w:r>
        <w:br/>
      </w:r>
      <w:r>
        <w:t xml:space="preserve">Title: Facilities Director</w:t>
      </w:r>
      <w:r>
        <w:br/>
      </w:r>
      <w:r>
        <w:t xml:space="preserve">Date: ______________________________</w:t>
      </w:r>
    </w:p>
    <w:p>
      <w:pPr>
        <w:pStyle w:val="BodyText"/>
      </w:pPr>
      <w:r>
        <w:rPr>
          <w:bCs/>
          <w:b/>
        </w:rPr>
        <w:t xml:space="preserve">SELLER – Lightning Edge Electric Services, Inc.</w:t>
      </w:r>
      <w:r>
        <w:br/>
      </w:r>
      <w:r>
        <w:br/>
      </w:r>
      <w:r>
        <w:t xml:space="preserve">Signature: ______________________________</w:t>
      </w:r>
      <w:r>
        <w:br/>
      </w:r>
      <w:r>
        <w:t xml:space="preserve">Name: Carmen Alvarez</w:t>
      </w:r>
      <w:r>
        <w:br/>
      </w:r>
      <w:r>
        <w:t xml:space="preserve">Title: Lead Electrician &amp; Project Manager</w:t>
      </w:r>
      <w:r>
        <w:br/>
      </w:r>
      <w:r>
        <w:t xml:space="preserve">Date: ______________________________</w:t>
      </w:r>
    </w:p>
    <w:p>
      <w:pPr>
        <w:pStyle w:val="BodyText"/>
      </w:pPr>
      <w:r>
        <w:t xml:space="preserve">This Purchase Order (PO-2025-MIA-04872) is valid for a period of thirty (30) days from the date of issue. All work referenced herein is to be performed at the premises located in United States Miami, Florida. The Electrician named in this document assumes full responsibility for code compliance, safety, and quality of all electrical work performed under this Purchase Order. This document constitutes a binding agreement upon execution by both parties.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United States Miami</dc:title>
  <dc:creator/>
  <dc:language>en</dc:language>
  <cp:keywords/>
  <dcterms:created xsi:type="dcterms:W3CDTF">2026-10-10T08:09:26Z</dcterms:created>
  <dcterms:modified xsi:type="dcterms:W3CDTF">2026-10-10T08:09:26Z</dcterms:modified>
</cp:coreProperties>
</file>

<file path=docProps/custom.xml><?xml version="1.0" encoding="utf-8"?>
<Properties xmlns="http://schemas.openxmlformats.org/officeDocument/2006/custom-properties" xmlns:vt="http://schemas.openxmlformats.org/officeDocument/2006/docPropsVTypes"/>
</file>