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Electrician</w:t>
      </w:r>
      <w:r>
        <w:t xml:space="preserve"> </w:t>
      </w:r>
      <w:r>
        <w:t xml:space="preserve">Services</w:t>
      </w:r>
      <w:r>
        <w:t xml:space="preserve"> </w:t>
      </w:r>
      <w:r>
        <w:t xml:space="preserve">-</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purchase-order"/>
    <w:p>
      <w:pPr>
        <w:pStyle w:val="Heading1"/>
      </w:pPr>
      <w:r>
        <w:t xml:space="preserve">PURCHASE ORDER</w:t>
      </w:r>
    </w:p>
    <w:p>
      <w:pPr>
        <w:pStyle w:val="FirstParagraph"/>
      </w:pPr>
      <w:r>
        <w:t xml:space="preserve">Electrician Services — Vietnam Ho Chi Minh City</w:t>
      </w:r>
    </w:p>
    <w:p>
      <w:pPr>
        <w:pStyle w:val="BodyText"/>
      </w:pPr>
      <w:r>
        <w:t xml:space="preserve">Document Reference: PO-HCM-2025-0472</w:t>
      </w:r>
    </w:p>
    <w:bookmarkEnd w:id="20"/>
    <w:bookmarkStart w:id="21" w:name="purchaser-buyer"/>
    <w:p>
      <w:pPr>
        <w:pStyle w:val="Heading3"/>
      </w:pPr>
      <w:r>
        <w:t xml:space="preserve">Purchaser (Buyer)</w:t>
      </w:r>
    </w:p>
    <w:p>
      <w:pPr>
        <w:pStyle w:val="FirstParagraph"/>
      </w:pPr>
      <w:r>
        <w:rPr>
          <w:bCs/>
          <w:b/>
        </w:rPr>
        <w:t xml:space="preserve">Company:</w:t>
      </w:r>
      <w:r>
        <w:t xml:space="preserve"> </w:t>
      </w:r>
      <w:r>
        <w:t xml:space="preserve">Saigon Commercial Properties JSC</w:t>
      </w:r>
    </w:p>
    <w:p>
      <w:pPr>
        <w:pStyle w:val="BodyText"/>
      </w:pPr>
      <w:r>
        <w:rPr>
          <w:bCs/>
          <w:b/>
        </w:rPr>
        <w:t xml:space="preserve">Address:</w:t>
      </w:r>
      <w:r>
        <w:t xml:space="preserve"> </w:t>
      </w:r>
      <w:r>
        <w:t xml:space="preserve">128 Nguyen Hue Street, District 1, Vietnam Ho Chi Minh City</w:t>
      </w:r>
    </w:p>
    <w:p>
      <w:pPr>
        <w:pStyle w:val="BodyText"/>
      </w:pPr>
      <w:r>
        <w:rPr>
          <w:bCs/>
          <w:b/>
        </w:rPr>
        <w:t xml:space="preserve">Contact:</w:t>
      </w:r>
      <w:r>
        <w:t xml:space="preserve"> </w:t>
      </w:r>
      <w:r>
        <w:t xml:space="preserve">Mr. Tran Van Minh</w:t>
      </w:r>
    </w:p>
    <w:p>
      <w:pPr>
        <w:pStyle w:val="BodyText"/>
      </w:pPr>
      <w:r>
        <w:rPr>
          <w:bCs/>
          <w:b/>
        </w:rPr>
        <w:t xml:space="preserve">Email:</w:t>
      </w:r>
      <w:r>
        <w:t xml:space="preserve"> </w:t>
      </w:r>
      <w:r>
        <w:t xml:space="preserve">procurement@saigoncommercial.vn</w:t>
      </w:r>
    </w:p>
    <w:p>
      <w:pPr>
        <w:pStyle w:val="BodyText"/>
      </w:pPr>
      <w:r>
        <w:rPr>
          <w:bCs/>
          <w:b/>
        </w:rPr>
        <w:t xml:space="preserve">Tax Code:</w:t>
      </w:r>
      <w:r>
        <w:t xml:space="preserve"> </w:t>
      </w:r>
      <w:r>
        <w:t xml:space="preserve">0312345678</w:t>
      </w:r>
    </w:p>
    <w:bookmarkEnd w:id="21"/>
    <w:bookmarkStart w:id="22" w:name="supplier-seller"/>
    <w:p>
      <w:pPr>
        <w:pStyle w:val="Heading3"/>
      </w:pPr>
      <w:r>
        <w:t xml:space="preserve">Supplier (Seller)</w:t>
      </w:r>
    </w:p>
    <w:p>
      <w:pPr>
        <w:pStyle w:val="FirstParagraph"/>
      </w:pPr>
      <w:r>
        <w:rPr>
          <w:bCs/>
          <w:b/>
        </w:rPr>
        <w:t xml:space="preserve">Company:</w:t>
      </w:r>
      <w:r>
        <w:t xml:space="preserve"> </w:t>
      </w:r>
      <w:r>
        <w:t xml:space="preserve">HCM Electrician Solutions Co., Ltd.</w:t>
      </w:r>
    </w:p>
    <w:p>
      <w:pPr>
        <w:pStyle w:val="BodyText"/>
      </w:pPr>
      <w:r>
        <w:rPr>
          <w:bCs/>
          <w:b/>
        </w:rPr>
        <w:t xml:space="preserve">Address:</w:t>
      </w:r>
      <w:r>
        <w:t xml:space="preserve"> </w:t>
      </w:r>
      <w:r>
        <w:t xml:space="preserve">45 Le Van Sy Street, District 3, Vietnam Ho Chi Minh City</w:t>
      </w:r>
    </w:p>
    <w:p>
      <w:pPr>
        <w:pStyle w:val="BodyText"/>
      </w:pPr>
      <w:r>
        <w:rPr>
          <w:bCs/>
          <w:b/>
        </w:rPr>
        <w:t xml:space="preserve">Contact:</w:t>
      </w:r>
      <w:r>
        <w:t xml:space="preserve"> </w:t>
      </w:r>
      <w:r>
        <w:t xml:space="preserve">Ms. Le Thi Hoa</w:t>
      </w:r>
    </w:p>
    <w:p>
      <w:pPr>
        <w:pStyle w:val="BodyText"/>
      </w:pPr>
      <w:r>
        <w:rPr>
          <w:bCs/>
          <w:b/>
        </w:rPr>
        <w:t xml:space="preserve">Email:</w:t>
      </w:r>
      <w:r>
        <w:t xml:space="preserve"> </w:t>
      </w:r>
      <w:r>
        <w:t xml:space="preserve">admin@hmcelectrician.vn</w:t>
      </w:r>
    </w:p>
    <w:p>
      <w:pPr>
        <w:pStyle w:val="BodyText"/>
      </w:pPr>
      <w:r>
        <w:rPr>
          <w:bCs/>
          <w:b/>
        </w:rPr>
        <w:t xml:space="preserve">Tax Code:</w:t>
      </w:r>
      <w:r>
        <w:t xml:space="preserve"> </w:t>
      </w:r>
      <w:r>
        <w:t xml:space="preserve">0387654321</w:t>
      </w:r>
    </w:p>
    <w:bookmarkEnd w:id="22"/>
    <w:p>
      <w:pPr>
        <w:pStyle w:val="BodyText"/>
      </w:pPr>
      <w:r>
        <w:rPr>
          <w:bCs/>
          <w:b/>
        </w:rPr>
        <w:t xml:space="preserve">Purchase Order No.:</w:t>
      </w:r>
      <w:r>
        <w:t xml:space="preserve"> </w:t>
      </w:r>
      <w:r>
        <w:t xml:space="preserve">PO-HCM-2025-0472</w:t>
      </w:r>
    </w:p>
    <w:p>
      <w:pPr>
        <w:pStyle w:val="BodyText"/>
      </w:pPr>
      <w:r>
        <w:rPr>
          <w:bCs/>
          <w:b/>
        </w:rPr>
        <w:t xml:space="preserve">Date of Issue:</w:t>
      </w:r>
      <w:r>
        <w:t xml:space="preserve"> </w:t>
      </w:r>
      <w:r>
        <w:t xml:space="preserve">15 June 2025</w:t>
      </w:r>
    </w:p>
    <w:p>
      <w:pPr>
        <w:pStyle w:val="BodyText"/>
      </w:pPr>
      <w:r>
        <w:rPr>
          <w:bCs/>
          <w:b/>
        </w:rPr>
        <w:t xml:space="preserve">Required Completion Date:</w:t>
      </w:r>
      <w:r>
        <w:t xml:space="preserve"> </w:t>
      </w:r>
      <w:r>
        <w:t xml:space="preserve">30 June 2025</w:t>
      </w:r>
    </w:p>
    <w:p>
      <w:pPr>
        <w:pStyle w:val="BodyText"/>
      </w:pPr>
      <w:r>
        <w:rPr>
          <w:bCs/>
          <w:b/>
        </w:rPr>
        <w:t xml:space="preserve">Project Location:</w:t>
      </w:r>
      <w:r>
        <w:t xml:space="preserve"> </w:t>
      </w:r>
      <w:r>
        <w:t xml:space="preserve">Saigon Commercial Tower, District 1, Vietnam Ho Chi Minh City</w:t>
      </w:r>
    </w:p>
    <w:p>
      <w:pPr>
        <w:pStyle w:val="BodyText"/>
      </w:pPr>
      <w:r>
        <w:rPr>
          <w:bCs/>
          <w:b/>
        </w:rPr>
        <w:t xml:space="preserve">Payment Terms:</w:t>
      </w:r>
      <w:r>
        <w:t xml:space="preserve"> </w:t>
      </w:r>
      <w:r>
        <w:t xml:space="preserve">Net 30 days from invoice</w:t>
      </w:r>
    </w:p>
    <w:p>
      <w:pPr>
        <w:pStyle w:val="BodyText"/>
      </w:pPr>
      <w:r>
        <w:rPr>
          <w:bCs/>
          <w:b/>
        </w:rPr>
        <w:t xml:space="preserve">Currency:</w:t>
      </w:r>
      <w:r>
        <w:t xml:space="preserve"> </w:t>
      </w:r>
      <w:r>
        <w:t xml:space="preserve">VND (Vietnamese Dong)</w:t>
      </w:r>
    </w:p>
    <w:bookmarkStart w:id="23" w:name="description-of-electrician-services"/>
    <w:p>
      <w:pPr>
        <w:pStyle w:val="Heading2"/>
      </w:pPr>
      <w:r>
        <w:t xml:space="preserve">Description of Electrician Services</w:t>
      </w:r>
    </w:p>
    <w:p>
      <w:pPr>
        <w:pStyle w:val="FirstParagraph"/>
      </w:pPr>
      <w:r>
        <w:t xml:space="preserve">This Purchase Order is issued by Saigon Commercial Properties JSC to HCM Electrician Solutions Co., Ltd. for the provision of comprehensive Electrician services at the Saigon Commercial Tower located in Vietnam Ho Chi Minh City. The scope of work includes but is not limited to the installation, inspection, maintenance, and repair of all electrical systems within the building. The contracted Electrician team shall ensure full compliance with the Vietnam National Technical Regulations on Electrical Safety (QCVN 01:2019/BCT) and all applicable local codes enforced by the District 1 Department of Construction in Vietnam Ho Chi Minh City.</w:t>
      </w:r>
    </w:p>
    <w:bookmarkEnd w:id="23"/>
    <w:bookmarkStart w:id="24" w:name="line-items-pricing"/>
    <w:p>
      <w:pPr>
        <w:pStyle w:val="Heading2"/>
      </w:pPr>
      <w:r>
        <w:t xml:space="preserve">Line Items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Electrician Service</w:t>
            </w:r>
          </w:p>
        </w:tc>
        <w:tc>
          <w:tcPr/>
          <w:p>
            <w:pPr>
              <w:pStyle w:val="Compact"/>
              <w:jc w:val="left"/>
            </w:pPr>
            <w:r>
              <w:t xml:space="preserve">Quantity</w:t>
            </w:r>
          </w:p>
        </w:tc>
        <w:tc>
          <w:tcPr/>
          <w:p>
            <w:pPr>
              <w:pStyle w:val="Compact"/>
              <w:jc w:val="left"/>
            </w:pPr>
            <w:r>
              <w:t xml:space="preserve">Unit (VND)</w:t>
            </w:r>
          </w:p>
        </w:tc>
        <w:tc>
          <w:tcPr/>
          <w:p>
            <w:pPr>
              <w:pStyle w:val="Compact"/>
              <w:jc w:val="left"/>
            </w:pPr>
            <w:r>
              <w:t xml:space="preserve">Amount (VND)</w:t>
            </w:r>
          </w:p>
        </w:tc>
        <w:tc>
          <w:tcPr/>
          <w:p>
            <w:pPr>
              <w:pStyle w:val="Compact"/>
              <w:jc w:val="left"/>
            </w:pPr>
            <w:r>
              <w:t xml:space="preserve">Deadline</w:t>
            </w:r>
          </w:p>
        </w:tc>
      </w:tr>
      <w:tr>
        <w:tc>
          <w:tcPr/>
          <w:p>
            <w:pPr>
              <w:pStyle w:val="Compact"/>
              <w:jc w:val="left"/>
            </w:pPr>
            <w:r>
              <w:t xml:space="preserve">1</w:t>
            </w:r>
          </w:p>
        </w:tc>
        <w:tc>
          <w:tcPr/>
          <w:p>
            <w:pPr>
              <w:pStyle w:val="Compact"/>
              <w:jc w:val="left"/>
            </w:pPr>
            <w:r>
              <w:t xml:space="preserve">Full electrical system inspection and diagnostic audit of floors 1–20, including load testing, thermal imaging, and panel verification</w:t>
            </w:r>
          </w:p>
        </w:tc>
        <w:tc>
          <w:tcPr/>
          <w:p>
            <w:pPr>
              <w:pStyle w:val="Compact"/>
              <w:jc w:val="left"/>
            </w:pPr>
            <w:r>
              <w:t xml:space="preserve">20 floors</w:t>
            </w:r>
          </w:p>
        </w:tc>
        <w:tc>
          <w:tcPr/>
          <w:p>
            <w:pPr>
              <w:pStyle w:val="Compact"/>
              <w:jc w:val="left"/>
            </w:pPr>
            <w:r>
              <w:t xml:space="preserve">12,500,000</w:t>
            </w:r>
          </w:p>
        </w:tc>
        <w:tc>
          <w:tcPr/>
          <w:p>
            <w:pPr>
              <w:pStyle w:val="Compact"/>
              <w:jc w:val="left"/>
            </w:pPr>
            <w:r>
              <w:t xml:space="preserve">250,000,000</w:t>
            </w:r>
          </w:p>
        </w:tc>
        <w:tc>
          <w:tcPr/>
          <w:p>
            <w:pPr>
              <w:pStyle w:val="Compact"/>
              <w:jc w:val="left"/>
            </w:pPr>
            <w:r>
              <w:t xml:space="preserve">18 June 2025</w:t>
            </w:r>
          </w:p>
        </w:tc>
      </w:tr>
      <w:tr>
        <w:tc>
          <w:tcPr/>
          <w:p>
            <w:pPr>
              <w:pStyle w:val="Compact"/>
              <w:jc w:val="left"/>
            </w:pPr>
            <w:r>
              <w:t xml:space="preserve">2</w:t>
            </w:r>
          </w:p>
        </w:tc>
        <w:tc>
          <w:tcPr/>
          <w:p>
            <w:pPr>
              <w:pStyle w:val="Compact"/>
              <w:jc w:val="left"/>
            </w:pPr>
            <w:r>
              <w:t xml:space="preserve">Replacement of 340 fluorescent lighting fixtures with LED panels (including wiring, ballast removal, and disposal)</w:t>
            </w:r>
          </w:p>
        </w:tc>
        <w:tc>
          <w:tcPr/>
          <w:p>
            <w:pPr>
              <w:pStyle w:val="Compact"/>
              <w:jc w:val="left"/>
            </w:pPr>
            <w:r>
              <w:t xml:space="preserve">340 units</w:t>
            </w:r>
          </w:p>
        </w:tc>
        <w:tc>
          <w:tcPr/>
          <w:p>
            <w:pPr>
              <w:pStyle w:val="Compact"/>
              <w:jc w:val="left"/>
            </w:pPr>
            <w:r>
              <w:t xml:space="preserve">850,000</w:t>
            </w:r>
          </w:p>
        </w:tc>
        <w:tc>
          <w:tcPr/>
          <w:p>
            <w:pPr>
              <w:pStyle w:val="Compact"/>
              <w:jc w:val="left"/>
            </w:pPr>
            <w:r>
              <w:t xml:space="preserve">289,000,000</w:t>
            </w:r>
          </w:p>
        </w:tc>
        <w:tc>
          <w:tcPr/>
          <w:p>
            <w:pPr>
              <w:pStyle w:val="Compact"/>
              <w:jc w:val="left"/>
            </w:pPr>
            <w:r>
              <w:t xml:space="preserve">22 June 2025</w:t>
            </w:r>
          </w:p>
        </w:tc>
      </w:tr>
      <w:tr>
        <w:tc>
          <w:tcPr/>
          <w:p>
            <w:pPr>
              <w:pStyle w:val="Compact"/>
              <w:jc w:val="left"/>
            </w:pPr>
            <w:r>
              <w:t xml:space="preserve">3</w:t>
            </w:r>
          </w:p>
        </w:tc>
        <w:tc>
          <w:tcPr/>
          <w:p>
            <w:pPr>
              <w:pStyle w:val="Compact"/>
              <w:jc w:val="left"/>
            </w:pPr>
            <w:r>
              <w:t xml:space="preserve">Installation and commissioning of 12 new 3-phase distribution panels (630A) on floors 5, 10, and 15</w:t>
            </w:r>
          </w:p>
        </w:tc>
        <w:tc>
          <w:tcPr/>
          <w:p>
            <w:pPr>
              <w:pStyle w:val="Compact"/>
              <w:jc w:val="left"/>
            </w:pPr>
            <w:r>
              <w:t xml:space="preserve">12 panels</w:t>
            </w:r>
          </w:p>
        </w:tc>
        <w:tc>
          <w:tcPr/>
          <w:p>
            <w:pPr>
              <w:pStyle w:val="Compact"/>
              <w:jc w:val="left"/>
            </w:pPr>
            <w:r>
              <w:t xml:space="preserve">18,500,000</w:t>
            </w:r>
          </w:p>
        </w:tc>
        <w:tc>
          <w:tcPr/>
          <w:p>
            <w:pPr>
              <w:pStyle w:val="Compact"/>
              <w:jc w:val="left"/>
            </w:pPr>
            <w:r>
              <w:t xml:space="preserve">222,000,000</w:t>
            </w:r>
          </w:p>
        </w:tc>
        <w:tc>
          <w:tcPr/>
          <w:p>
            <w:pPr>
              <w:pStyle w:val="Compact"/>
              <w:jc w:val="left"/>
            </w:pPr>
            <w:r>
              <w:t xml:space="preserve">25 June 2025</w:t>
            </w:r>
          </w:p>
        </w:tc>
      </w:tr>
      <w:tr>
        <w:tc>
          <w:tcPr/>
          <w:p>
            <w:pPr>
              <w:pStyle w:val="Compact"/>
              <w:jc w:val="left"/>
            </w:pPr>
            <w:r>
              <w:t xml:space="preserve">4</w:t>
            </w:r>
          </w:p>
        </w:tc>
        <w:tc>
          <w:tcPr/>
          <w:p>
            <w:pPr>
              <w:pStyle w:val="Compact"/>
              <w:jc w:val="left"/>
            </w:pPr>
            <w:r>
              <w:t xml:space="preserve">Emergency generator transfer switch (ATS) upgrade and full load-bank testing for the backup power system</w:t>
            </w:r>
          </w:p>
        </w:tc>
        <w:tc>
          <w:tcPr/>
          <w:p>
            <w:pPr>
              <w:pStyle w:val="Compact"/>
              <w:jc w:val="left"/>
            </w:pPr>
            <w:r>
              <w:t xml:space="preserve">1 system</w:t>
            </w:r>
          </w:p>
        </w:tc>
        <w:tc>
          <w:tcPr/>
          <w:p>
            <w:pPr>
              <w:pStyle w:val="Compact"/>
              <w:jc w:val="left"/>
            </w:pPr>
            <w:r>
              <w:t xml:space="preserve">95,000,000</w:t>
            </w:r>
          </w:p>
        </w:tc>
        <w:tc>
          <w:tcPr/>
          <w:p>
            <w:pPr>
              <w:pStyle w:val="Compact"/>
              <w:jc w:val="left"/>
            </w:pPr>
            <w:r>
              <w:t xml:space="preserve">95,000,000</w:t>
            </w:r>
          </w:p>
        </w:tc>
        <w:tc>
          <w:tcPr/>
          <w:p>
            <w:pPr>
              <w:pStyle w:val="Compact"/>
              <w:jc w:val="left"/>
            </w:pPr>
            <w:r>
              <w:t xml:space="preserve">27 June 2025</w:t>
            </w:r>
          </w:p>
        </w:tc>
      </w:tr>
      <w:tr>
        <w:tc>
          <w:tcPr/>
          <w:p>
            <w:pPr>
              <w:pStyle w:val="Compact"/>
              <w:jc w:val="left"/>
            </w:pPr>
            <w:r>
              <w:t xml:space="preserve">5</w:t>
            </w:r>
          </w:p>
        </w:tc>
        <w:tc>
          <w:tcPr/>
          <w:p>
            <w:pPr>
              <w:pStyle w:val="Compact"/>
              <w:jc w:val="left"/>
            </w:pPr>
            <w:r>
              <w:t xml:space="preserve">Installation of 85 new electrical outlets and data-ready conduits in the open-plan office areas of floors 8–14</w:t>
            </w:r>
          </w:p>
        </w:tc>
        <w:tc>
          <w:tcPr/>
          <w:p>
            <w:pPr>
              <w:pStyle w:val="Compact"/>
              <w:jc w:val="left"/>
            </w:pPr>
            <w:r>
              <w:t xml:space="preserve">85 points</w:t>
            </w:r>
          </w:p>
        </w:tc>
        <w:tc>
          <w:tcPr/>
          <w:p>
            <w:pPr>
              <w:pStyle w:val="Compact"/>
              <w:jc w:val="left"/>
            </w:pPr>
            <w:r>
              <w:t xml:space="preserve">1,200,000</w:t>
            </w:r>
          </w:p>
        </w:tc>
        <w:tc>
          <w:tcPr/>
          <w:p>
            <w:pPr>
              <w:pStyle w:val="Compact"/>
              <w:jc w:val="left"/>
            </w:pPr>
            <w:r>
              <w:t xml:space="preserve">102,000,000</w:t>
            </w:r>
          </w:p>
        </w:tc>
        <w:tc>
          <w:tcPr/>
          <w:p>
            <w:pPr>
              <w:pStyle w:val="Compact"/>
              <w:jc w:val="left"/>
            </w:pPr>
            <w:r>
              <w:t xml:space="preserve">28 June 2025</w:t>
            </w:r>
          </w:p>
        </w:tc>
      </w:tr>
      <w:tr>
        <w:tc>
          <w:tcPr/>
          <w:p>
            <w:pPr>
              <w:pStyle w:val="Compact"/>
              <w:jc w:val="left"/>
            </w:pPr>
            <w:r>
              <w:t xml:space="preserve">6</w:t>
            </w:r>
          </w:p>
        </w:tc>
        <w:tc>
          <w:tcPr/>
          <w:p>
            <w:pPr>
              <w:pStyle w:val="Compact"/>
              <w:jc w:val="left"/>
            </w:pPr>
            <w:r>
              <w:t xml:space="preserve">Grounding and lightning protection system upgrade per TCVN 5922:2008 standard, including earth electrode resistance testing</w:t>
            </w:r>
          </w:p>
        </w:tc>
        <w:tc>
          <w:tcPr/>
          <w:p>
            <w:pPr>
              <w:pStyle w:val="Compact"/>
              <w:jc w:val="left"/>
            </w:pPr>
            <w:r>
              <w:t xml:space="preserve">1 project</w:t>
            </w:r>
          </w:p>
        </w:tc>
        <w:tc>
          <w:tcPr/>
          <w:p>
            <w:pPr>
              <w:pStyle w:val="Compact"/>
              <w:jc w:val="left"/>
            </w:pPr>
            <w:r>
              <w:t xml:space="preserve">68,000,000</w:t>
            </w:r>
          </w:p>
        </w:tc>
        <w:tc>
          <w:tcPr/>
          <w:p>
            <w:pPr>
              <w:pStyle w:val="Compact"/>
              <w:jc w:val="left"/>
            </w:pPr>
            <w:r>
              <w:t xml:space="preserve">68,000,000</w:t>
            </w:r>
          </w:p>
        </w:tc>
        <w:tc>
          <w:tcPr/>
          <w:p>
            <w:pPr>
              <w:pStyle w:val="Compact"/>
              <w:jc w:val="left"/>
            </w:pPr>
            <w:r>
              <w:t xml:space="preserve">29 June 2025</w:t>
            </w:r>
          </w:p>
        </w:tc>
      </w:tr>
      <w:tr>
        <w:tc>
          <w:tcPr/>
          <w:p>
            <w:pPr>
              <w:pStyle w:val="Compact"/>
              <w:jc w:val="left"/>
            </w:pPr>
            <w:r>
              <w:t xml:space="preserve">7</w:t>
            </w:r>
          </w:p>
        </w:tc>
        <w:tc>
          <w:tcPr/>
          <w:p>
            <w:pPr>
              <w:pStyle w:val="Compact"/>
              <w:jc w:val="left"/>
            </w:pPr>
            <w:r>
              <w:t xml:space="preserve">Final certification, as-built documentation, and handover report issued by the lead Electrician engineer</w:t>
            </w:r>
          </w:p>
        </w:tc>
        <w:tc>
          <w:tcPr/>
          <w:p>
            <w:pPr>
              <w:pStyle w:val="Compact"/>
              <w:jc w:val="left"/>
            </w:pPr>
            <w:r>
              <w:t xml:space="preserve">1 set</w:t>
            </w:r>
          </w:p>
        </w:tc>
        <w:tc>
          <w:tcPr/>
          <w:p>
            <w:pPr>
              <w:pStyle w:val="Compact"/>
              <w:jc w:val="left"/>
            </w:pPr>
            <w:r>
              <w:t xml:space="preserve">15,000,000</w:t>
            </w:r>
          </w:p>
        </w:tc>
        <w:tc>
          <w:tcPr/>
          <w:p>
            <w:pPr>
              <w:pStyle w:val="Compact"/>
              <w:jc w:val="left"/>
            </w:pPr>
            <w:r>
              <w:t xml:space="preserve">15,000,000</w:t>
            </w:r>
          </w:p>
        </w:tc>
        <w:tc>
          <w:tcPr/>
          <w:p>
            <w:pPr>
              <w:pStyle w:val="Compact"/>
              <w:jc w:val="left"/>
            </w:pPr>
            <w:r>
              <w:t xml:space="preserve">30 June 2025</w:t>
            </w:r>
          </w:p>
        </w:tc>
      </w:tr>
      <w:tr>
        <w:tc>
          <w:tcPr>
            <w:gridSpan w:val="4"/>
          </w:tcPr>
          <w:p>
            <w:pPr>
              <w:pStyle w:val="Compact"/>
              <w:jc w:val="right"/>
            </w:pPr>
            <w:r>
              <w:t xml:space="preserve">Subtotal (VND)</w:t>
            </w:r>
          </w:p>
        </w:tc>
        <w:tc>
          <w:tcPr/>
          <w:p>
            <w:pPr>
              <w:pStyle w:val="Compact"/>
              <w:jc w:val="left"/>
            </w:pPr>
            <w:r>
              <w:t xml:space="preserve">1,041,000,000</w:t>
            </w:r>
          </w:p>
        </w:tc>
        <w:tc>
          <w:tcPr/>
          <w:p>
            <w:pPr>
              <w:pStyle w:val="Compact"/>
            </w:pPr>
          </w:p>
        </w:tc>
      </w:tr>
      <w:tr>
        <w:tc>
          <w:tcPr>
            <w:gridSpan w:val="4"/>
          </w:tcPr>
          <w:p>
            <w:pPr>
              <w:pStyle w:val="Compact"/>
              <w:jc w:val="right"/>
            </w:pPr>
            <w:r>
              <w:t xml:space="preserve">VAT 10% (VND)</w:t>
            </w:r>
          </w:p>
        </w:tc>
        <w:tc>
          <w:tcPr/>
          <w:p>
            <w:pPr>
              <w:pStyle w:val="Compact"/>
              <w:jc w:val="left"/>
            </w:pPr>
            <w:r>
              <w:t xml:space="preserve">104,100,000</w:t>
            </w:r>
          </w:p>
        </w:tc>
        <w:tc>
          <w:tcPr/>
          <w:p>
            <w:pPr>
              <w:pStyle w:val="Compact"/>
            </w:pPr>
          </w:p>
        </w:tc>
      </w:tr>
      <w:tr>
        <w:tc>
          <w:tcPr>
            <w:gridSpan w:val="4"/>
          </w:tcPr>
          <w:p>
            <w:pPr>
              <w:pStyle w:val="Compact"/>
              <w:jc w:val="right"/>
            </w:pPr>
            <w:r>
              <w:t xml:space="preserve">TOTAL AMOUNT DUE (VND)</w:t>
            </w:r>
          </w:p>
        </w:tc>
        <w:tc>
          <w:tcPr/>
          <w:p>
            <w:pPr>
              <w:pStyle w:val="Compact"/>
              <w:jc w:val="left"/>
            </w:pPr>
            <w:r>
              <w:t xml:space="preserve">1,145,100,000</w:t>
            </w:r>
          </w:p>
        </w:tc>
        <w:tc>
          <w:tcPr/>
          <w:p>
            <w:pPr>
              <w:pStyle w:val="Compact"/>
            </w:pPr>
          </w:p>
        </w:tc>
      </w:tr>
    </w:tbl>
    <w:bookmarkEnd w:id="24"/>
    <w:bookmarkStart w:id="25" w:name="terms-and-conditions"/>
    <w:p>
      <w:pPr>
        <w:pStyle w:val="Heading2"/>
      </w:pPr>
      <w:r>
        <w:t xml:space="preserve">Terms and Conditions</w:t>
      </w:r>
    </w:p>
    <w:p>
      <w:pPr>
        <w:numPr>
          <w:ilvl w:val="0"/>
          <w:numId w:val="1001"/>
        </w:numPr>
        <w:pStyle w:val="Compact"/>
      </w:pPr>
      <w:r>
        <w:t xml:space="preserve">This Purchase Order constitutes a binding agreement between the Purchaser and the Supplier for the Electrician services described herein. All work shall be performed at the project site in Vietnam Ho Chi Minh City as specified above.</w:t>
      </w:r>
    </w:p>
    <w:p>
      <w:pPr>
        <w:numPr>
          <w:ilvl w:val="0"/>
          <w:numId w:val="1001"/>
        </w:numPr>
        <w:pStyle w:val="Compact"/>
      </w:pPr>
      <w:r>
        <w:t xml:space="preserve">The Supplier shall assign a licensed Electrician team of no fewer than eight (8) certified technicians, each holding a valid Vietnamese electrical work permit (Giấy phép hành nghề điện) issued by the Ministry of Industry and Trade.</w:t>
      </w:r>
    </w:p>
    <w:p>
      <w:pPr>
        <w:numPr>
          <w:ilvl w:val="0"/>
          <w:numId w:val="1001"/>
        </w:numPr>
        <w:pStyle w:val="Compact"/>
      </w:pPr>
      <w:r>
        <w:t xml:space="preserve">All materials, components, and equipment supplied under this Purchase Order must be new, of OEM quality, and carry a minimum manufacturer warranty of two (2) years. The Supplier shall provide material data sheets and compliance certificates upon delivery to the Vietnam Ho Chi Minh City site.</w:t>
      </w:r>
    </w:p>
    <w:p>
      <w:pPr>
        <w:numPr>
          <w:ilvl w:val="0"/>
          <w:numId w:val="1001"/>
        </w:numPr>
        <w:pStyle w:val="Compact"/>
      </w:pPr>
      <w:r>
        <w:t xml:space="preserve">Payment shall be made via bank transfer to the Supplier's designated account within thirty (30) calendar days of receipt of a valid VAT invoice. Late payments shall accrue interest at 0.05% per day as stipulated under the Vietnamese Commercial Law 2005.</w:t>
      </w:r>
    </w:p>
    <w:p>
      <w:pPr>
        <w:numPr>
          <w:ilvl w:val="0"/>
          <w:numId w:val="1001"/>
        </w:numPr>
        <w:pStyle w:val="Compact"/>
      </w:pPr>
      <w:r>
        <w:t xml:space="preserve">The Supplier is responsible for all safety protocols, personal protective equipment (PPE), and site housekeeping in accordance with Vietnam's Occupational Safety and Health regulations. Any work-related incident at the Vietnam Ho Chi Minh City site shall be reported to the Purchaser within four (4) hours.</w:t>
      </w:r>
    </w:p>
    <w:p>
      <w:pPr>
        <w:numPr>
          <w:ilvl w:val="0"/>
          <w:numId w:val="1001"/>
        </w:numPr>
        <w:pStyle w:val="Compact"/>
      </w:pPr>
      <w:r>
        <w:t xml:space="preserve">Warranty: The Electrician workmanship warranty period is twelve (12) months from the date of final acceptance. During this period, the Supplier shall rectify any defects at no additional cost to the Purchaser.</w:t>
      </w:r>
    </w:p>
    <w:p>
      <w:pPr>
        <w:numPr>
          <w:ilvl w:val="0"/>
          <w:numId w:val="1001"/>
        </w:numPr>
        <w:pStyle w:val="Compact"/>
      </w:pPr>
      <w:r>
        <w:t xml:space="preserve">Force Majeure: Neither party shall be liable for delays caused by events beyond reasonable control, including but not limited to typhoons, flooding in the Vietnam Ho Chi Minh City region, government-mandated shutdowns, or epidemics, as defined under Article 351 of the Vietnamese Civil Code 2015.</w:t>
      </w:r>
    </w:p>
    <w:p>
      <w:pPr>
        <w:numPr>
          <w:ilvl w:val="0"/>
          <w:numId w:val="1001"/>
        </w:numPr>
        <w:pStyle w:val="Compact"/>
      </w:pPr>
      <w:r>
        <w:t xml:space="preserve">Disputes arising from this Purchase Order shall first be resolved through amicable negotiation. If unresolved within fifteen (15) days, the matter shall be submitted to the Vietnam International Arbitration Centre (VIAC) in Vietnam Ho Chi Minh City for binding arbitration.</w:t>
      </w:r>
    </w:p>
    <w:p>
      <w:pPr>
        <w:numPr>
          <w:ilvl w:val="0"/>
          <w:numId w:val="1001"/>
        </w:numPr>
        <w:pStyle w:val="Compact"/>
      </w:pPr>
      <w:r>
        <w:t xml:space="preserve">This Purchase Order is governed by the laws of the Socialist Republic of Vietnam. All communications regarding this document shall be in Vietnamese and English, with the Vietnamese version prevailing in case of discrepancy.</w:t>
      </w:r>
    </w:p>
    <w:p>
      <w:pPr>
        <w:pStyle w:val="FirstParagraph"/>
      </w:pPr>
      <w:r>
        <w:rPr>
          <w:bCs/>
          <w:b/>
        </w:rPr>
        <w:t xml:space="preserve">Important Note:</w:t>
      </w:r>
      <w:r>
        <w:t xml:space="preserve"> </w:t>
      </w:r>
      <w:r>
        <w:t xml:space="preserve">The Supplier must obtain written approval from the building management and the District 1 Fire Prevention Office in Vietnam Ho Chi Minh City before commencing any hot work (welding, cutting, or live-panel servicing). All Electrician personnel must present valid identification and site-access permits at the security gate prior to entry. Failure to comply may result in immediate suspension of work and a penalty of 5,000,000 VND per occurrence.</w:t>
      </w:r>
    </w:p>
    <w:bookmarkEnd w:id="25"/>
    <w:bookmarkStart w:id="26" w:name="acceptance-authorization"/>
    <w:p>
      <w:pPr>
        <w:pStyle w:val="Heading2"/>
      </w:pPr>
      <w:r>
        <w:t xml:space="preserve">Acceptance &amp; Authorization</w:t>
      </w:r>
    </w:p>
    <w:p>
      <w:pPr>
        <w:pStyle w:val="FirstParagraph"/>
      </w:pPr>
      <w:r>
        <w:rPr>
          <w:bCs/>
          <w:b/>
        </w:rPr>
        <w:t xml:space="preserve">For and on behalf of the Purchaser</w:t>
      </w:r>
    </w:p>
    <w:p>
      <w:pPr>
        <w:pStyle w:val="BodyText"/>
      </w:pPr>
      <w:r>
        <w:t xml:space="preserve">Saigon Commercial Properties JSC</w:t>
      </w:r>
    </w:p>
    <w:p>
      <w:pPr>
        <w:pStyle w:val="BodyText"/>
      </w:pPr>
      <w:r>
        <w:t xml:space="preserve">Mr. Tran Van Minh</w:t>
      </w:r>
    </w:p>
    <w:p>
      <w:pPr>
        <w:pStyle w:val="BodyText"/>
      </w:pPr>
      <w:r>
        <w:t xml:space="preserve">Procurement Director</w:t>
      </w:r>
    </w:p>
    <w:p>
      <w:pPr>
        <w:pStyle w:val="BodyText"/>
      </w:pPr>
      <w:r>
        <w:t xml:space="preserve">Date: _______________</w:t>
      </w:r>
    </w:p>
    <w:p>
      <w:pPr>
        <w:pStyle w:val="BodyText"/>
      </w:pPr>
      <w:r>
        <w:rPr>
          <w:bCs/>
          <w:b/>
        </w:rPr>
        <w:t xml:space="preserve">For and on behalf of the Supplier</w:t>
      </w:r>
    </w:p>
    <w:p>
      <w:pPr>
        <w:pStyle w:val="BodyText"/>
      </w:pPr>
      <w:r>
        <w:t xml:space="preserve">HCM Electrician Solutions Co., Ltd.</w:t>
      </w:r>
    </w:p>
    <w:p>
      <w:pPr>
        <w:pStyle w:val="BodyText"/>
      </w:pPr>
      <w:r>
        <w:t xml:space="preserve">Ms. Le Thi Hoa</w:t>
      </w:r>
    </w:p>
    <w:p>
      <w:pPr>
        <w:pStyle w:val="BodyText"/>
      </w:pPr>
      <w:r>
        <w:t xml:space="preserve">General Manager</w:t>
      </w:r>
    </w:p>
    <w:p>
      <w:pPr>
        <w:pStyle w:val="BodyText"/>
      </w:pPr>
      <w:r>
        <w:t xml:space="preserve">Date: _______________</w:t>
      </w:r>
    </w:p>
    <w:p>
      <w:pPr>
        <w:pStyle w:val="BodyText"/>
      </w:pPr>
      <w:r>
        <w:t xml:space="preserve">This Purchase Order (PO-HCM-2025-0472) was prepared for Electrician services in Vietnam Ho Chi Minh City. © 2025 Saigon Commercial Properties JSC. All rights reserved.</w:t>
      </w:r>
    </w:p>
    <w:p>
      <w:pPr>
        <w:pStyle w:val="BodyText"/>
      </w:pPr>
      <w:r>
        <w:t xml:space="preserve">Page 1 of 1 — Printed on 15 June 2025</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Electrician Services - Vietnam Ho Chi Minh City</dc:title>
  <dc:creator/>
  <dc:language>en</dc:language>
  <cp:keywords/>
  <dcterms:created xsi:type="dcterms:W3CDTF">2026-10-10T08:13:37Z</dcterms:created>
  <dcterms:modified xsi:type="dcterms:W3CDTF">2026-10-10T08:13:37Z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