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Electronics</w:t>
      </w:r>
      <w:r>
        <w:t xml:space="preserve"> </w:t>
      </w:r>
      <w:r>
        <w:t xml:space="preserve">Engineer</w:t>
      </w:r>
      <w:r>
        <w:t xml:space="preserve"> </w:t>
      </w:r>
      <w:r>
        <w:t xml:space="preserve">Services</w:t>
      </w:r>
      <w:r>
        <w:t xml:space="preserve"> </w:t>
      </w:r>
      <w:r>
        <w:t xml:space="preserve">-</w:t>
      </w:r>
      <w:r>
        <w:t xml:space="preserve"> </w:t>
      </w:r>
      <w:r>
        <w:t xml:space="preserve">Indonesia</w:t>
      </w:r>
      <w:r>
        <w:t xml:space="preserve"> </w:t>
      </w:r>
      <w:r>
        <w:t xml:space="preserve">Jakarta</w:t>
      </w:r>
    </w:p>
    <w:bookmarkStart w:id="20" w:name="purchase-order"/>
    <w:p>
      <w:pPr>
        <w:pStyle w:val="Heading1"/>
      </w:pPr>
      <w:r>
        <w:t xml:space="preserve">PURCHASE ORDER</w:t>
      </w:r>
    </w:p>
    <w:p>
      <w:pPr>
        <w:pStyle w:val="FirstParagraph"/>
      </w:pPr>
      <w:r>
        <w:t xml:space="preserve">Professional Services Procurement Document</w:t>
      </w:r>
    </w:p>
    <w:p>
      <w:pPr>
        <w:pStyle w:val="BodyText"/>
      </w:pPr>
      <w:r>
        <w:t xml:space="preserve">PO No: PO-JKT-2025-04782</w:t>
      </w:r>
    </w:p>
    <w:p>
      <w:pPr>
        <w:pStyle w:val="BodyText"/>
      </w:pPr>
      <w:r>
        <w:t xml:space="preserve">Date of Issue: 15 June 2025</w:t>
      </w:r>
    </w:p>
    <w:bookmarkEnd w:id="20"/>
    <w:bookmarkStart w:id="21" w:name="purchaser-buyer"/>
    <w:p>
      <w:pPr>
        <w:pStyle w:val="Heading3"/>
      </w:pPr>
      <w:r>
        <w:t xml:space="preserve">PURCHASER (Buyer)</w:t>
      </w:r>
    </w:p>
    <w:p>
      <w:pPr>
        <w:pStyle w:val="FirstParagraph"/>
      </w:pPr>
      <w:r>
        <w:rPr>
          <w:bCs/>
          <w:b/>
        </w:rPr>
        <w:t xml:space="preserve">PT Nusantara Teknologi Digital</w:t>
      </w:r>
    </w:p>
    <w:p>
      <w:pPr>
        <w:pStyle w:val="BodyText"/>
      </w:pPr>
      <w:r>
        <w:t xml:space="preserve">Jl. Jend. Sudirman Kav. 52-53</w:t>
      </w:r>
    </w:p>
    <w:p>
      <w:pPr>
        <w:pStyle w:val="BodyText"/>
      </w:pPr>
      <w:r>
        <w:t xml:space="preserve">SCBD, Jakarta Selatan 12190</w:t>
      </w:r>
    </w:p>
    <w:p>
      <w:pPr>
        <w:pStyle w:val="BodyText"/>
      </w:pPr>
      <w:r>
        <w:t xml:space="preserve">Indonesia Jakarta</w:t>
      </w:r>
    </w:p>
    <w:p>
      <w:pPr>
        <w:pStyle w:val="BodyText"/>
      </w:pPr>
      <w:r>
        <w:t xml:space="preserve">Tel: +62-21-5790-1234</w:t>
      </w:r>
    </w:p>
    <w:p>
      <w:pPr>
        <w:pStyle w:val="BodyText"/>
      </w:pPr>
      <w:r>
        <w:t xml:space="preserve">Email: procurement@nusantatech.co.id</w:t>
      </w:r>
    </w:p>
    <w:p>
      <w:pPr>
        <w:pStyle w:val="BodyText"/>
      </w:pPr>
      <w:r>
        <w:t xml:space="preserve">NPWP: 02.345.678.9-011.000</w:t>
      </w:r>
    </w:p>
    <w:bookmarkEnd w:id="21"/>
    <w:bookmarkStart w:id="22" w:name="supplier-seller"/>
    <w:p>
      <w:pPr>
        <w:pStyle w:val="Heading3"/>
      </w:pPr>
      <w:r>
        <w:t xml:space="preserve">SUPPLIER (Seller)</w:t>
      </w:r>
    </w:p>
    <w:p>
      <w:pPr>
        <w:pStyle w:val="FirstParagraph"/>
      </w:pPr>
      <w:r>
        <w:rPr>
          <w:bCs/>
          <w:b/>
        </w:rPr>
        <w:t xml:space="preserve">PT Cakrawala Engineering Solutions</w:t>
      </w:r>
    </w:p>
    <w:p>
      <w:pPr>
        <w:pStyle w:val="BodyText"/>
      </w:pPr>
      <w:r>
        <w:t xml:space="preserve">Jl. Gatot Subroto No. 88</w:t>
      </w:r>
    </w:p>
    <w:p>
      <w:pPr>
        <w:pStyle w:val="BodyText"/>
      </w:pPr>
      <w:r>
        <w:t xml:space="preserve">Setiabudi, Jakarta Selatan 12950</w:t>
      </w:r>
    </w:p>
    <w:p>
      <w:pPr>
        <w:pStyle w:val="BodyText"/>
      </w:pPr>
      <w:r>
        <w:t xml:space="preserve">Indonesia Jakarta</w:t>
      </w:r>
    </w:p>
    <w:p>
      <w:pPr>
        <w:pStyle w:val="BodyText"/>
      </w:pPr>
      <w:r>
        <w:t xml:space="preserve">Tel: +62-21-7220-5678</w:t>
      </w:r>
    </w:p>
    <w:p>
      <w:pPr>
        <w:pStyle w:val="BodyText"/>
      </w:pPr>
      <w:r>
        <w:t xml:space="preserve">Email: sales@cakrawala-eng.com</w:t>
      </w:r>
    </w:p>
    <w:p>
      <w:pPr>
        <w:pStyle w:val="BodyText"/>
      </w:pPr>
      <w:r>
        <w:t xml:space="preserve">NPWP: 09.876.543.2-012.000</w:t>
      </w:r>
    </w:p>
    <w:bookmarkEnd w:id="22"/>
    <w:p>
      <w:pPr>
        <w:pStyle w:val="BodyText"/>
      </w:pPr>
      <w:r>
        <w:t xml:space="preserve">1. SCOPE OF PURCHASE ORDER</w:t>
      </w:r>
    </w:p>
    <w:p>
      <w:pPr>
        <w:pStyle w:val="BodyText"/>
      </w:pPr>
      <w:r>
        <w:t xml:space="preserve">This</w:t>
      </w:r>
      <w:r>
        <w:t xml:space="preserve"> </w:t>
      </w:r>
      <w:r>
        <w:t xml:space="preserve">Purchase Order</w:t>
      </w:r>
      <w:r>
        <w:t xml:space="preserve"> </w:t>
      </w:r>
      <w:r>
        <w:t xml:space="preserve">is issued by PT Nusantara Teknologi Digital (hereinafter referred to as the "Purchaser") to PT Cakrawala Engineering Solutions (hereinafter referred to as the "Supplier") for the procurement of professional</w:t>
      </w:r>
      <w:r>
        <w:t xml:space="preserve"> </w:t>
      </w:r>
      <w:r>
        <w:t xml:space="preserve">Electronics Engineer</w:t>
      </w:r>
      <w:r>
        <w:t xml:space="preserve"> </w:t>
      </w:r>
      <w:r>
        <w:t xml:space="preserve">services. This</w:t>
      </w:r>
      <w:r>
        <w:t xml:space="preserve"> </w:t>
      </w:r>
      <w:r>
        <w:t xml:space="preserve">Purchase Order</w:t>
      </w:r>
      <w:r>
        <w:t xml:space="preserve"> </w:t>
      </w:r>
      <w:r>
        <w:t xml:space="preserve">governs the engagement of qualified</w:t>
      </w:r>
      <w:r>
        <w:t xml:space="preserve"> </w:t>
      </w:r>
      <w:r>
        <w:t xml:space="preserve">Electronics Engineer</w:t>
      </w:r>
      <w:r>
        <w:t xml:space="preserve"> </w:t>
      </w:r>
      <w:r>
        <w:t xml:space="preserve">personnel to be deployed at the Purchaser's operational facility located in</w:t>
      </w:r>
      <w:r>
        <w:t xml:space="preserve"> </w:t>
      </w:r>
      <w:r>
        <w:t xml:space="preserve">Indonesia Jakarta</w:t>
      </w:r>
      <w:r>
        <w:t xml:space="preserve">, specifically at the SCBD business district premises. The services described herein are essential for the ongoing development, testing, and maintenance of embedded electronic systems, printed circuit board (PCB) assemblies, and industrial control units that the Purchaser manufactures for the Southeast Asian telecommunications market.</w:t>
      </w:r>
    </w:p>
    <w:p>
      <w:pPr>
        <w:pStyle w:val="BodyText"/>
      </w:pPr>
      <w:r>
        <w:t xml:space="preserve">2. LINE ITEMS AND SERVICE DESCRIPTION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Role / Title</w:t>
            </w:r>
          </w:p>
        </w:tc>
        <w:tc>
          <w:tcPr/>
          <w:p>
            <w:pPr>
              <w:pStyle w:val="Compact"/>
              <w:jc w:val="left"/>
            </w:pPr>
            <w:r>
              <w:t xml:space="preserve">Duration</w:t>
            </w:r>
          </w:p>
        </w:tc>
        <w:tc>
          <w:tcPr/>
          <w:p>
            <w:pPr>
              <w:pStyle w:val="Compact"/>
              <w:jc w:val="left"/>
            </w:pPr>
            <w:r>
              <w:t xml:space="preserve">Unit Rate (IDR)</w:t>
            </w:r>
          </w:p>
        </w:tc>
        <w:tc>
          <w:tcPr/>
          <w:p>
            <w:pPr>
              <w:pStyle w:val="Compact"/>
              <w:jc w:val="left"/>
            </w:pPr>
            <w:r>
              <w:t xml:space="preserve">Amount (IDR)</w:t>
            </w:r>
          </w:p>
        </w:tc>
      </w:tr>
      <w:tr>
        <w:tc>
          <w:tcPr/>
          <w:p>
            <w:pPr>
              <w:pStyle w:val="Compact"/>
              <w:jc w:val="left"/>
            </w:pPr>
            <w:r>
              <w:t xml:space="preserve">01</w:t>
            </w:r>
          </w:p>
        </w:tc>
        <w:tc>
          <w:tcPr/>
          <w:p>
            <w:pPr>
              <w:pStyle w:val="Compact"/>
              <w:jc w:val="left"/>
            </w:pPr>
            <w:r>
              <w:t xml:space="preserve">Senior</w:t>
            </w:r>
            <w:r>
              <w:t xml:space="preserve"> </w:t>
            </w:r>
            <w:r>
              <w:t xml:space="preserve">Electronics Engineer</w:t>
            </w:r>
            <w:r>
              <w:t xml:space="preserve"> </w:t>
            </w:r>
            <w:r>
              <w:t xml:space="preserve">– PCB Design &amp; Layout (Analog/Digital)</w:t>
            </w:r>
          </w:p>
        </w:tc>
        <w:tc>
          <w:tcPr/>
          <w:p>
            <w:pPr>
              <w:pStyle w:val="Compact"/>
              <w:jc w:val="left"/>
            </w:pPr>
            <w:r>
              <w:t xml:space="preserve">Senior Engineer</w:t>
            </w:r>
          </w:p>
        </w:tc>
        <w:tc>
          <w:tcPr/>
          <w:p>
            <w:pPr>
              <w:pStyle w:val="Compact"/>
              <w:jc w:val="left"/>
            </w:pPr>
            <w:r>
              <w:t xml:space="preserve">6 months</w:t>
            </w:r>
          </w:p>
        </w:tc>
        <w:tc>
          <w:tcPr/>
          <w:p>
            <w:pPr>
              <w:pStyle w:val="Compact"/>
              <w:jc w:val="left"/>
            </w:pPr>
            <w:r>
              <w:t xml:space="preserve">85,000,000</w:t>
            </w:r>
          </w:p>
        </w:tc>
        <w:tc>
          <w:tcPr/>
          <w:p>
            <w:pPr>
              <w:pStyle w:val="Compact"/>
              <w:jc w:val="left"/>
            </w:pPr>
            <w:r>
              <w:t xml:space="preserve">510,000,000</w:t>
            </w:r>
          </w:p>
        </w:tc>
      </w:tr>
      <w:tr>
        <w:tc>
          <w:tcPr/>
          <w:p>
            <w:pPr>
              <w:pStyle w:val="Compact"/>
              <w:jc w:val="left"/>
            </w:pPr>
            <w:r>
              <w:t xml:space="preserve">02</w:t>
            </w:r>
          </w:p>
        </w:tc>
        <w:tc>
          <w:tcPr/>
          <w:p>
            <w:pPr>
              <w:pStyle w:val="Compact"/>
              <w:jc w:val="left"/>
            </w:pPr>
            <w:r>
              <w:t xml:space="preserve">Mid-Level</w:t>
            </w:r>
            <w:r>
              <w:t xml:space="preserve"> </w:t>
            </w:r>
            <w:r>
              <w:t xml:space="preserve">Electronics Engineer</w:t>
            </w:r>
            <w:r>
              <w:t xml:space="preserve"> </w:t>
            </w:r>
            <w:r>
              <w:t xml:space="preserve">– Firmware Integration &amp; Embedded Systems</w:t>
            </w:r>
          </w:p>
        </w:tc>
        <w:tc>
          <w:tcPr/>
          <w:p>
            <w:pPr>
              <w:pStyle w:val="Compact"/>
              <w:jc w:val="left"/>
            </w:pPr>
            <w:r>
              <w:t xml:space="preserve">Engineer II</w:t>
            </w:r>
          </w:p>
        </w:tc>
        <w:tc>
          <w:tcPr/>
          <w:p>
            <w:pPr>
              <w:pStyle w:val="Compact"/>
              <w:jc w:val="left"/>
            </w:pPr>
            <w:r>
              <w:t xml:space="preserve">6 months</w:t>
            </w:r>
          </w:p>
        </w:tc>
        <w:tc>
          <w:tcPr/>
          <w:p>
            <w:pPr>
              <w:pStyle w:val="Compact"/>
              <w:jc w:val="left"/>
            </w:pPr>
            <w:r>
              <w:t xml:space="preserve">55,000,000</w:t>
            </w:r>
          </w:p>
        </w:tc>
        <w:tc>
          <w:tcPr/>
          <w:p>
            <w:pPr>
              <w:pStyle w:val="Compact"/>
              <w:jc w:val="left"/>
            </w:pPr>
            <w:r>
              <w:t xml:space="preserve">330,000,000</w:t>
            </w:r>
          </w:p>
        </w:tc>
      </w:tr>
      <w:tr>
        <w:tc>
          <w:tcPr/>
          <w:p>
            <w:pPr>
              <w:pStyle w:val="Compact"/>
              <w:jc w:val="left"/>
            </w:pPr>
            <w:r>
              <w:t xml:space="preserve">03</w:t>
            </w:r>
          </w:p>
        </w:tc>
        <w:tc>
          <w:tcPr/>
          <w:p>
            <w:pPr>
              <w:pStyle w:val="Compact"/>
              <w:jc w:val="left"/>
            </w:pPr>
            <w:r>
              <w:t xml:space="preserve">Junior</w:t>
            </w:r>
            <w:r>
              <w:t xml:space="preserve"> </w:t>
            </w:r>
            <w:r>
              <w:t xml:space="preserve">Electronics Engineer</w:t>
            </w:r>
            <w:r>
              <w:t xml:space="preserve"> </w:t>
            </w:r>
            <w:r>
              <w:t xml:space="preserve">– Test &amp; Measurement Support</w:t>
            </w:r>
          </w:p>
        </w:tc>
        <w:tc>
          <w:tcPr/>
          <w:p>
            <w:pPr>
              <w:pStyle w:val="Compact"/>
              <w:jc w:val="left"/>
            </w:pPr>
            <w:r>
              <w:t xml:space="preserve">Engineer I</w:t>
            </w:r>
          </w:p>
        </w:tc>
        <w:tc>
          <w:tcPr/>
          <w:p>
            <w:pPr>
              <w:pStyle w:val="Compact"/>
              <w:jc w:val="left"/>
            </w:pPr>
            <w:r>
              <w:t xml:space="preserve">6 months</w:t>
            </w:r>
          </w:p>
        </w:tc>
        <w:tc>
          <w:tcPr/>
          <w:p>
            <w:pPr>
              <w:pStyle w:val="Compact"/>
              <w:jc w:val="left"/>
            </w:pPr>
            <w:r>
              <w:t xml:space="preserve">32,000,000</w:t>
            </w:r>
          </w:p>
        </w:tc>
        <w:tc>
          <w:tcPr/>
          <w:p>
            <w:pPr>
              <w:pStyle w:val="Compact"/>
              <w:jc w:val="left"/>
            </w:pPr>
            <w:r>
              <w:t xml:space="preserve">192,000,000</w:t>
            </w:r>
          </w:p>
        </w:tc>
      </w:tr>
      <w:tr>
        <w:tc>
          <w:tcPr/>
          <w:p>
            <w:pPr>
              <w:pStyle w:val="Compact"/>
              <w:jc w:val="left"/>
            </w:pPr>
            <w:r>
              <w:t xml:space="preserve">04</w:t>
            </w:r>
          </w:p>
        </w:tc>
        <w:tc>
          <w:tcPr/>
          <w:p>
            <w:pPr>
              <w:pStyle w:val="Compact"/>
              <w:jc w:val="left"/>
            </w:pPr>
            <w:r>
              <w:t xml:space="preserve">Project Management &amp; Technical Supervision for</w:t>
            </w:r>
            <w:r>
              <w:t xml:space="preserve"> </w:t>
            </w:r>
            <w:r>
              <w:t xml:space="preserve">Electronics Engineer</w:t>
            </w:r>
            <w:r>
              <w:t xml:space="preserve"> </w:t>
            </w:r>
            <w:r>
              <w:t xml:space="preserve">Team</w:t>
            </w:r>
          </w:p>
        </w:tc>
        <w:tc>
          <w:tcPr/>
          <w:p>
            <w:pPr>
              <w:pStyle w:val="Compact"/>
              <w:jc w:val="left"/>
            </w:pPr>
            <w:r>
              <w:t xml:space="preserve">Engineering Lead</w:t>
            </w:r>
          </w:p>
        </w:tc>
        <w:tc>
          <w:tcPr/>
          <w:p>
            <w:pPr>
              <w:pStyle w:val="Compact"/>
              <w:jc w:val="left"/>
            </w:pPr>
            <w:r>
              <w:t xml:space="preserve">6 months</w:t>
            </w:r>
          </w:p>
        </w:tc>
        <w:tc>
          <w:tcPr/>
          <w:p>
            <w:pPr>
              <w:pStyle w:val="Compact"/>
              <w:jc w:val="left"/>
            </w:pPr>
            <w:r>
              <w:t xml:space="preserve">95,000,000</w:t>
            </w:r>
          </w:p>
        </w:tc>
        <w:tc>
          <w:tcPr/>
          <w:p>
            <w:pPr>
              <w:pStyle w:val="Compact"/>
              <w:jc w:val="left"/>
            </w:pPr>
            <w:r>
              <w:t xml:space="preserve">570,000,000</w:t>
            </w:r>
          </w:p>
        </w:tc>
      </w:tr>
      <w:tr>
        <w:tc>
          <w:tcPr/>
          <w:p>
            <w:pPr>
              <w:pStyle w:val="Compact"/>
              <w:jc w:val="left"/>
            </w:pPr>
            <w:r>
              <w:t xml:space="preserve">05</w:t>
            </w:r>
          </w:p>
        </w:tc>
        <w:tc>
          <w:tcPr/>
          <w:p>
            <w:pPr>
              <w:pStyle w:val="Compact"/>
              <w:jc w:val="left"/>
            </w:pPr>
            <w:r>
              <w:t xml:space="preserve">On-site Technical Training &amp; Knowledge Transfer (Indonesia Jakarta facility)</w:t>
            </w:r>
          </w:p>
        </w:tc>
        <w:tc>
          <w:tcPr/>
          <w:p>
            <w:pPr>
              <w:pStyle w:val="Compact"/>
              <w:jc w:val="left"/>
            </w:pPr>
            <w:r>
              <w:t xml:space="preserve">Training Program</w:t>
            </w:r>
          </w:p>
        </w:tc>
        <w:tc>
          <w:tcPr/>
          <w:p>
            <w:pPr>
              <w:pStyle w:val="Compact"/>
              <w:jc w:val="left"/>
            </w:pPr>
            <w:r>
              <w:t xml:space="preserve">2 months</w:t>
            </w:r>
          </w:p>
        </w:tc>
        <w:tc>
          <w:tcPr/>
          <w:p>
            <w:pPr>
              <w:pStyle w:val="Compact"/>
              <w:jc w:val="left"/>
            </w:pPr>
            <w:r>
              <w:t xml:space="preserve">45,000,000</w:t>
            </w:r>
          </w:p>
        </w:tc>
        <w:tc>
          <w:tcPr/>
          <w:p>
            <w:pPr>
              <w:pStyle w:val="Compact"/>
              <w:jc w:val="left"/>
            </w:pPr>
            <w:r>
              <w:t xml:space="preserve">90,000,000</w:t>
            </w:r>
          </w:p>
        </w:tc>
      </w:tr>
      <w:tr>
        <w:tc>
          <w:tcPr>
            <w:gridSpan w:val="5"/>
          </w:tcPr>
          <w:p>
            <w:pPr>
              <w:pStyle w:val="Compact"/>
              <w:jc w:val="left"/>
            </w:pPr>
            <w:r>
              <w:t xml:space="preserve">SUBTOTAL</w:t>
            </w:r>
          </w:p>
        </w:tc>
        <w:tc>
          <w:tcPr/>
          <w:p>
            <w:pPr>
              <w:pStyle w:val="Compact"/>
              <w:jc w:val="left"/>
            </w:pPr>
            <w:r>
              <w:t xml:space="preserve">1,692,000,000</w:t>
            </w:r>
          </w:p>
        </w:tc>
      </w:tr>
      <w:tr>
        <w:tc>
          <w:tcPr>
            <w:gridSpan w:val="5"/>
          </w:tcPr>
          <w:p>
            <w:pPr>
              <w:pStyle w:val="Compact"/>
              <w:jc w:val="left"/>
            </w:pPr>
            <w:r>
              <w:t xml:space="preserve">VAT (11% – Indonesia Standard Rate)</w:t>
            </w:r>
          </w:p>
        </w:tc>
        <w:tc>
          <w:tcPr/>
          <w:p>
            <w:pPr>
              <w:pStyle w:val="Compact"/>
              <w:jc w:val="left"/>
            </w:pPr>
            <w:r>
              <w:t xml:space="preserve">186,120,000</w:t>
            </w:r>
          </w:p>
        </w:tc>
      </w:tr>
      <w:tr>
        <w:tc>
          <w:tcPr>
            <w:gridSpan w:val="5"/>
          </w:tcPr>
          <w:p>
            <w:pPr>
              <w:pStyle w:val="Compact"/>
              <w:jc w:val="left"/>
            </w:pPr>
            <w:r>
              <w:t xml:space="preserve">GRAND TOTAL (IDR)</w:t>
            </w:r>
          </w:p>
        </w:tc>
        <w:tc>
          <w:tcPr/>
          <w:p>
            <w:pPr>
              <w:pStyle w:val="Compact"/>
              <w:jc w:val="left"/>
            </w:pPr>
            <w:r>
              <w:t xml:space="preserve">1,878,120,000</w:t>
            </w:r>
          </w:p>
        </w:tc>
      </w:tr>
    </w:tbl>
    <w:p>
      <w:pPr>
        <w:pStyle w:val="BodyText"/>
      </w:pPr>
      <w:r>
        <w:t xml:space="preserve">3. DELIVERY AND WORK LOCATION</w:t>
      </w:r>
    </w:p>
    <w:p>
      <w:pPr>
        <w:pStyle w:val="BodyText"/>
      </w:pPr>
      <w:r>
        <w:t xml:space="preserve">All</w:t>
      </w:r>
      <w:r>
        <w:t xml:space="preserve"> </w:t>
      </w:r>
      <w:r>
        <w:t xml:space="preserve">Electronics Engineer</w:t>
      </w:r>
      <w:r>
        <w:t xml:space="preserve"> </w:t>
      </w:r>
      <w:r>
        <w:t xml:space="preserve">personnel engaged under this</w:t>
      </w:r>
      <w:r>
        <w:t xml:space="preserve"> </w:t>
      </w:r>
      <w:r>
        <w:t xml:space="preserve">Purchase Order</w:t>
      </w:r>
      <w:r>
        <w:t xml:space="preserve"> </w:t>
      </w:r>
      <w:r>
        <w:t xml:space="preserve">shall report to and perform their duties at the Purchaser's primary engineering laboratory and production facility located at Jl. Jend. Sudirman Kav. 52-53, SCBD,</w:t>
      </w:r>
      <w:r>
        <w:t xml:space="preserve"> </w:t>
      </w:r>
      <w:r>
        <w:t xml:space="preserve">Indonesia Jakarta</w:t>
      </w:r>
      <w:r>
        <w:t xml:space="preserve">, South Jakarta 12190. The work schedule shall follow the standard Indonesian business hours of Monday through Friday, 08:00 to 17:00 WIB (Western Indonesia Time), with overtime to be pre-approved in writing by the Purchaser's Engineering Director. The Supplier shall ensure that all</w:t>
      </w:r>
      <w:r>
        <w:t xml:space="preserve"> </w:t>
      </w:r>
      <w:r>
        <w:t xml:space="preserve">Electronics Engineer</w:t>
      </w:r>
      <w:r>
        <w:t xml:space="preserve"> </w:t>
      </w:r>
      <w:r>
        <w:t xml:space="preserve">candidates possess valid work permits (KITAS) and meet the immigration requirements set forth by the Indonesian Ministry of Manpower for foreign nationals, or hold valid Indonesian citizenship documents for local hires.</w:t>
      </w:r>
    </w:p>
    <w:p>
      <w:pPr>
        <w:pStyle w:val="BodyText"/>
      </w:pPr>
      <w:r>
        <w:t xml:space="preserve">4. TERMS AND CONDITIONS</w:t>
      </w:r>
    </w:p>
    <w:p>
      <w:pPr>
        <w:numPr>
          <w:ilvl w:val="0"/>
          <w:numId w:val="1001"/>
        </w:numPr>
        <w:pStyle w:val="Compact"/>
      </w:pPr>
      <w:r>
        <w:rPr>
          <w:bCs/>
          <w:b/>
        </w:rPr>
        <w:t xml:space="preserve">Acceptance:</w:t>
      </w:r>
      <w:r>
        <w:t xml:space="preserve"> </w:t>
      </w:r>
      <w:r>
        <w:t xml:space="preserve">This</w:t>
      </w:r>
      <w:r>
        <w:t xml:space="preserve"> </w:t>
      </w:r>
      <w:r>
        <w:t xml:space="preserve">Purchase Order</w:t>
      </w:r>
      <w:r>
        <w:t xml:space="preserve"> </w:t>
      </w:r>
      <w:r>
        <w:t xml:space="preserve">shall become binding upon written acceptance by the Supplier within five (5) business days of the date of issue. Failure to respond within this period shall constitute a rejection of this</w:t>
      </w:r>
      <w:r>
        <w:t xml:space="preserve"> </w:t>
      </w:r>
      <w:r>
        <w:t xml:space="preserve">Purchase Order</w:t>
      </w:r>
      <w:r>
        <w:t xml:space="preserve">.</w:t>
      </w:r>
    </w:p>
    <w:p>
      <w:pPr>
        <w:numPr>
          <w:ilvl w:val="0"/>
          <w:numId w:val="1001"/>
        </w:numPr>
        <w:pStyle w:val="Compact"/>
      </w:pPr>
      <w:r>
        <w:rPr>
          <w:bCs/>
          <w:b/>
        </w:rPr>
        <w:t xml:space="preserve">Payment Terms:</w:t>
      </w:r>
      <w:r>
        <w:t xml:space="preserve"> </w:t>
      </w:r>
      <w:r>
        <w:t xml:space="preserve">Payment shall be made in monthly installments via bank transfer to the Supplier's designated account in Indonesia Jakarta. Invoices are due within thirty (30) days from the date of receipt of a valid invoice. Late payments shall accrue interest at the rate of 1.5% per month as stipulated under Indonesian commercial law.</w:t>
      </w:r>
    </w:p>
    <w:p>
      <w:pPr>
        <w:numPr>
          <w:ilvl w:val="0"/>
          <w:numId w:val="1001"/>
        </w:numPr>
        <w:pStyle w:val="Compact"/>
      </w:pPr>
      <w:r>
        <w:rPr>
          <w:bCs/>
          <w:b/>
        </w:rPr>
        <w:t xml:space="preserve">Quality Standards:</w:t>
      </w:r>
      <w:r>
        <w:t xml:space="preserve"> </w:t>
      </w:r>
      <w:r>
        <w:t xml:space="preserve">All work performed by the</w:t>
      </w:r>
      <w:r>
        <w:t xml:space="preserve"> </w:t>
      </w:r>
      <w:r>
        <w:t xml:space="preserve">Electronics Engineer</w:t>
      </w:r>
      <w:r>
        <w:t xml:space="preserve"> </w:t>
      </w:r>
      <w:r>
        <w:t xml:space="preserve">team shall comply with IPC-A-610 (Acceptability of Electronic Assemblies), IEC 61000 (Electromagnetic Compatibility), and applicable Indonesian National Standards (SNI) for electronic components and systems.</w:t>
      </w:r>
    </w:p>
    <w:p>
      <w:pPr>
        <w:numPr>
          <w:ilvl w:val="0"/>
          <w:numId w:val="1001"/>
        </w:numPr>
        <w:pStyle w:val="Compact"/>
      </w:pPr>
      <w:r>
        <w:rPr>
          <w:bCs/>
          <w:b/>
        </w:rPr>
        <w:t xml:space="preserve">Confidentiality:</w:t>
      </w:r>
      <w:r>
        <w:t xml:space="preserve"> </w:t>
      </w:r>
      <w:r>
        <w:t xml:space="preserve">The Supplier and all assigned</w:t>
      </w:r>
      <w:r>
        <w:t xml:space="preserve"> </w:t>
      </w:r>
      <w:r>
        <w:t xml:space="preserve">Electronics Engineer</w:t>
      </w:r>
      <w:r>
        <w:t xml:space="preserve"> </w:t>
      </w:r>
      <w:r>
        <w:t xml:space="preserve">personnel shall execute a Non-Disclosure Agreement (NDA) prior to commencing work. All proprietary designs, schematics, firmware code, and technical documentation developed at the</w:t>
      </w:r>
      <w:r>
        <w:t xml:space="preserve"> </w:t>
      </w:r>
      <w:r>
        <w:t xml:space="preserve">Indonesia Jakarta</w:t>
      </w:r>
      <w:r>
        <w:t xml:space="preserve"> </w:t>
      </w:r>
      <w:r>
        <w:t xml:space="preserve">facility remain the exclusive intellectual property of the Purchaser.</w:t>
      </w:r>
    </w:p>
    <w:p>
      <w:pPr>
        <w:numPr>
          <w:ilvl w:val="0"/>
          <w:numId w:val="1001"/>
        </w:numPr>
        <w:pStyle w:val="Compact"/>
      </w:pPr>
      <w:r>
        <w:rPr>
          <w:bCs/>
          <w:b/>
        </w:rPr>
        <w:t xml:space="preserve">Substitution:</w:t>
      </w:r>
      <w:r>
        <w:t xml:space="preserve"> </w:t>
      </w:r>
      <w:r>
        <w:t xml:space="preserve">The Supplier shall not substitute any assigned</w:t>
      </w:r>
      <w:r>
        <w:t xml:space="preserve"> </w:t>
      </w:r>
      <w:r>
        <w:t xml:space="preserve">Electronics Engineer</w:t>
      </w:r>
      <w:r>
        <w:t xml:space="preserve"> </w:t>
      </w:r>
      <w:r>
        <w:t xml:space="preserve">without prior written consent from the Purchaser. Any proposed replacement must demonstrate equivalent or superior qualifications, certifications, and relevant industry experience.</w:t>
      </w:r>
    </w:p>
    <w:p>
      <w:pPr>
        <w:numPr>
          <w:ilvl w:val="0"/>
          <w:numId w:val="1001"/>
        </w:numPr>
        <w:pStyle w:val="Compact"/>
      </w:pPr>
      <w:r>
        <w:rPr>
          <w:bCs/>
          <w:b/>
        </w:rPr>
        <w:t xml:space="preserve">Termination:</w:t>
      </w:r>
      <w:r>
        <w:t xml:space="preserve"> </w:t>
      </w:r>
      <w:r>
        <w:t xml:space="preserve">Either party may terminate this</w:t>
      </w:r>
      <w:r>
        <w:t xml:space="preserve"> </w:t>
      </w:r>
      <w:r>
        <w:t xml:space="preserve">Purchase Order</w:t>
      </w:r>
      <w:r>
        <w:t xml:space="preserve"> </w:t>
      </w:r>
      <w:r>
        <w:t xml:space="preserve">with thirty (30) days written notice. In the event of material breach, termination may be effected immediately upon written notice. All work in progress shall be documented and handed over to the Purchaser upon termination.</w:t>
      </w:r>
    </w:p>
    <w:p>
      <w:pPr>
        <w:numPr>
          <w:ilvl w:val="0"/>
          <w:numId w:val="1001"/>
        </w:numPr>
        <w:pStyle w:val="Compact"/>
      </w:pPr>
      <w:r>
        <w:rPr>
          <w:bCs/>
          <w:b/>
        </w:rPr>
        <w:t xml:space="preserve">Governing Law:</w:t>
      </w:r>
      <w:r>
        <w:t xml:space="preserve"> </w:t>
      </w:r>
      <w:r>
        <w:t xml:space="preserve">This</w:t>
      </w:r>
      <w:r>
        <w:t xml:space="preserve"> </w:t>
      </w:r>
      <w:r>
        <w:t xml:space="preserve">Purchase Order</w:t>
      </w:r>
      <w:r>
        <w:t xml:space="preserve"> </w:t>
      </w:r>
      <w:r>
        <w:t xml:space="preserve">shall be governed by and construed in accordance with the laws of the Republic of Indonesia. Any disputes arising hereunder shall be resolved through arbitration at the Indonesian National Board of Arbitration (BANI) in Jakarta.</w:t>
      </w:r>
    </w:p>
    <w:p>
      <w:pPr>
        <w:numPr>
          <w:ilvl w:val="0"/>
          <w:numId w:val="1001"/>
        </w:numPr>
        <w:pStyle w:val="Compact"/>
      </w:pPr>
      <w:r>
        <w:rPr>
          <w:bCs/>
          <w:b/>
        </w:rPr>
        <w:t xml:space="preserve">Compliance:</w:t>
      </w:r>
      <w:r>
        <w:t xml:space="preserve"> </w:t>
      </w:r>
      <w:r>
        <w:t xml:space="preserve">The Supplier warrants that all</w:t>
      </w:r>
      <w:r>
        <w:t xml:space="preserve"> </w:t>
      </w:r>
      <w:r>
        <w:t xml:space="preserve">Electronics Engineer</w:t>
      </w:r>
      <w:r>
        <w:t xml:space="preserve"> </w:t>
      </w:r>
      <w:r>
        <w:t xml:space="preserve">personnel shall comply with all applicable Indonesian labor laws, tax regulations, and occupational health and safety standards (K3) as enforced in the</w:t>
      </w:r>
      <w:r>
        <w:t xml:space="preserve"> </w:t>
      </w:r>
      <w:r>
        <w:t xml:space="preserve">Indonesia Jakarta</w:t>
      </w:r>
      <w:r>
        <w:t xml:space="preserve"> </w:t>
      </w:r>
      <w:r>
        <w:t xml:space="preserve">metropolitan area.</w:t>
      </w:r>
    </w:p>
    <w:p>
      <w:pPr>
        <w:numPr>
          <w:ilvl w:val="0"/>
          <w:numId w:val="1001"/>
        </w:numPr>
        <w:pStyle w:val="Compact"/>
      </w:pPr>
      <w:r>
        <w:rPr>
          <w:bCs/>
          <w:b/>
        </w:rPr>
        <w:t xml:space="preserve">Insurance:</w:t>
      </w:r>
      <w:r>
        <w:t xml:space="preserve"> </w:t>
      </w:r>
      <w:r>
        <w:t xml:space="preserve">The Supplier shall maintain comprehensive professional liability insurance and workers' compensation coverage for all</w:t>
      </w:r>
      <w:r>
        <w:t xml:space="preserve"> </w:t>
      </w:r>
      <w:r>
        <w:t xml:space="preserve">Electronics Engineer</w:t>
      </w:r>
      <w:r>
        <w:t xml:space="preserve"> </w:t>
      </w:r>
      <w:r>
        <w:t xml:space="preserve">personnel for the full duration of this engagement, with minimum coverage of IDR 5,000,000,000 per incident.</w:t>
      </w:r>
    </w:p>
    <w:p>
      <w:pPr>
        <w:numPr>
          <w:ilvl w:val="0"/>
          <w:numId w:val="1001"/>
        </w:numPr>
        <w:pStyle w:val="Compact"/>
      </w:pPr>
      <w:r>
        <w:rPr>
          <w:bCs/>
          <w:b/>
        </w:rPr>
        <w:t xml:space="preserve">Force Majeure:</w:t>
      </w:r>
      <w:r>
        <w:t xml:space="preserve"> </w:t>
      </w:r>
      <w:r>
        <w:t xml:space="preserve">Neither party shall be liable for failure to perform obligations under this</w:t>
      </w:r>
      <w:r>
        <w:t xml:space="preserve"> </w:t>
      </w:r>
      <w:r>
        <w:t xml:space="preserve">Purchase Order</w:t>
      </w:r>
      <w:r>
        <w:t xml:space="preserve"> </w:t>
      </w:r>
      <w:r>
        <w:t xml:space="preserve">due to events beyond reasonable control, including but not limited to natural disasters, government mandates, or pandemics affecting operations in</w:t>
      </w:r>
      <w:r>
        <w:t xml:space="preserve"> </w:t>
      </w:r>
      <w:r>
        <w:t xml:space="preserve">Indonesia Jakarta</w:t>
      </w:r>
      <w:r>
        <w:t xml:space="preserve">.</w:t>
      </w:r>
    </w:p>
    <w:p>
      <w:pPr>
        <w:pStyle w:val="FirstParagraph"/>
      </w:pPr>
      <w:r>
        <w:t xml:space="preserve">5. ACCEPTANCE AND AUTHORIZATION</w:t>
      </w:r>
    </w:p>
    <w:p>
      <w:pPr>
        <w:pStyle w:val="BodyText"/>
      </w:pPr>
      <w:r>
        <w:t xml:space="preserve">By signing below, both parties acknowledge and agree to all terms, conditions, and specifications outlined in this</w:t>
      </w:r>
      <w:r>
        <w:t xml:space="preserve"> </w:t>
      </w:r>
      <w:r>
        <w:t xml:space="preserve">Purchase Order</w:t>
      </w:r>
      <w:r>
        <w:t xml:space="preserve"> </w:t>
      </w:r>
      <w:r>
        <w:t xml:space="preserve">for the engagement of</w:t>
      </w:r>
      <w:r>
        <w:t xml:space="preserve"> </w:t>
      </w:r>
      <w:r>
        <w:t xml:space="preserve">Electronics Engineer</w:t>
      </w:r>
      <w:r>
        <w:t xml:space="preserve"> </w:t>
      </w:r>
      <w:r>
        <w:t xml:space="preserve">services at the</w:t>
      </w:r>
      <w:r>
        <w:t xml:space="preserve"> </w:t>
      </w:r>
      <w:r>
        <w:t xml:space="preserve">Indonesia Jakarta</w:t>
      </w:r>
      <w:r>
        <w:t xml:space="preserve"> </w:t>
      </w:r>
      <w:r>
        <w:t xml:space="preserve">facility. This document constitutes a complete and final agreement between the parties with respect to the subject matter herein and supersedes all prior negotiations, representations, or agreements.</w:t>
      </w:r>
    </w:p>
    <w:p>
      <w:pPr>
        <w:pStyle w:val="BodyText"/>
      </w:pPr>
      <w:r>
        <w:rPr>
          <w:bCs/>
          <w:b/>
        </w:rPr>
        <w:t xml:space="preserve">For and on behalf of the Purchaser:</w:t>
      </w:r>
    </w:p>
    <w:p>
      <w:pPr>
        <w:pStyle w:val="BodyText"/>
      </w:pPr>
      <w:r>
        <w:t xml:space="preserve">PT Nusantara Teknologi Digital</w:t>
      </w:r>
    </w:p>
    <w:p>
      <w:pPr>
        <w:pStyle w:val="BodyText"/>
      </w:pPr>
      <w:r>
        <w:rPr>
          <w:bCs/>
          <w:b/>
        </w:rPr>
        <w:t xml:space="preserve">Dr. Hendra Wijaya, M.Eng.</w:t>
      </w:r>
      <w:r>
        <w:br/>
      </w:r>
      <w:r>
        <w:t xml:space="preserve">Director of Procurement &amp; Supply Chain</w:t>
      </w:r>
      <w:r>
        <w:br/>
      </w:r>
      <w:r>
        <w:t xml:space="preserve">Date: _______________</w:t>
      </w:r>
    </w:p>
    <w:p>
      <w:pPr>
        <w:pStyle w:val="BodyText"/>
      </w:pPr>
      <w:r>
        <w:rPr>
          <w:bCs/>
          <w:b/>
        </w:rPr>
        <w:t xml:space="preserve">For and on behalf of the Supplier:</w:t>
      </w:r>
    </w:p>
    <w:p>
      <w:pPr>
        <w:pStyle w:val="BodyText"/>
      </w:pPr>
      <w:r>
        <w:t xml:space="preserve">PT Cakrawala Engineering Solutions</w:t>
      </w:r>
    </w:p>
    <w:p>
      <w:pPr>
        <w:pStyle w:val="BodyText"/>
      </w:pPr>
      <w:r>
        <w:rPr>
          <w:bCs/>
          <w:b/>
        </w:rPr>
        <w:t xml:space="preserve">Sari Kusuma, P.Eng., M.Sc.</w:t>
      </w:r>
      <w:r>
        <w:br/>
      </w:r>
      <w:r>
        <w:t xml:space="preserve">General Manager – Engineering Division</w:t>
      </w:r>
      <w:r>
        <w:br/>
      </w:r>
      <w:r>
        <w:t xml:space="preserve">Date: _______________</w:t>
      </w:r>
    </w:p>
    <w:p>
      <w:pPr>
        <w:pStyle w:val="BodyText"/>
      </w:pPr>
      <w:r>
        <w:t xml:space="preserve">This Purchase Order (PO-JKT-2025-04782) is valid for 30 days from the date of issue. Document generated in Indonesia Jakarta. Page 1 of 1.</w:t>
      </w:r>
    </w:p>
    <w:p>
      <w:pPr>
        <w:pStyle w:val="BodyText"/>
      </w:pPr>
      <w:r>
        <w:t xml:space="preserve">PT Nusantara Teknologi Digital © 2025. All rights reserved. This document is confidential and intended solely for the named parties.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Electronics Engineer Services - Indonesia Jakarta</dc:title>
  <dc:creator/>
  <dc:language>en</dc:language>
  <cp:keywords/>
  <dcterms:created xsi:type="dcterms:W3CDTF">2026-10-10T01:53:32Z</dcterms:created>
  <dcterms:modified xsi:type="dcterms:W3CDTF">2026-10-10T01:53:32Z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