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technical-solutions-llc"/>
    <w:p>
      <w:pPr>
        <w:pStyle w:val="Heading1"/>
      </w:pPr>
      <w:r>
        <w:t xml:space="preserve">Meridian Technical Solutions LLC</w:t>
      </w:r>
    </w:p>
    <w:p>
      <w:pPr>
        <w:pStyle w:val="FirstParagraph"/>
      </w:pPr>
      <w:r>
        <w:t xml:space="preserve">Office 1204, Level 12, Burj Khalifa, Downtown Dubai, United Arab Emirates</w:t>
      </w:r>
    </w:p>
    <w:p>
      <w:pPr>
        <w:pStyle w:val="BodyText"/>
      </w:pPr>
      <w:r>
        <w:t xml:space="preserve">TRN: 100234567800003 | CR: 1234567 | Tel: +971 4 555 0123 | Email: procurement@meridiantech.ae</w:t>
      </w:r>
    </w:p>
    <w:bookmarkEnd w:id="20"/>
    <w:p>
      <w:pPr>
        <w:pStyle w:val="BodyText"/>
      </w:pPr>
      <w:r>
        <w:t xml:space="preserve">Purchase Order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United Arab Emirates Dirham (AED)</w:t>
            </w:r>
          </w:p>
        </w:tc>
        <w:tc>
          <w:tcPr/>
          <w:p>
            <w:pPr>
              <w:pStyle w:val="Compact"/>
              <w:jc w:val="left"/>
            </w:pPr>
            <w:r>
              <w:t xml:space="preserve">Incoterms</w:t>
            </w:r>
          </w:p>
        </w:tc>
        <w:tc>
          <w:tcPr/>
          <w:p>
            <w:pPr>
              <w:pStyle w:val="Compact"/>
              <w:jc w:val="left"/>
            </w:pPr>
            <w:r>
              <w:t xml:space="preserve">N/A – Professional Services</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Technical Solutions LLC</w:t>
      </w:r>
    </w:p>
    <w:p>
      <w:pPr>
        <w:pStyle w:val="BodyText"/>
      </w:pPr>
      <w:r>
        <w:rPr>
          <w:bCs/>
          <w:b/>
        </w:rPr>
        <w:t xml:space="preserve">Address:</w:t>
      </w:r>
      <w:r>
        <w:t xml:space="preserve"> </w:t>
      </w:r>
      <w:r>
        <w:t xml:space="preserve">Office 1204, Level 12, Burj Khalifa, Downtown Dubai, United Arab Emirates</w:t>
      </w:r>
    </w:p>
    <w:p>
      <w:pPr>
        <w:pStyle w:val="BodyText"/>
      </w:pPr>
      <w:r>
        <w:rPr>
          <w:bCs/>
          <w:b/>
        </w:rPr>
        <w:t xml:space="preserve">Authorized Signatory:</w:t>
      </w:r>
      <w:r>
        <w:t xml:space="preserve"> </w:t>
      </w:r>
      <w:r>
        <w:t xml:space="preserve">Mr. Khalid Al Mansoori, Chief Procurement Officer</w:t>
      </w:r>
    </w:p>
    <w:p>
      <w:pPr>
        <w:pStyle w:val="BodyText"/>
      </w:pPr>
      <w:r>
        <w:rPr>
          <w:bCs/>
          <w:b/>
        </w:rPr>
        <w:t xml:space="preserve">Contact:</w:t>
      </w:r>
      <w:r>
        <w:t xml:space="preserve"> </w:t>
      </w:r>
      <w:r>
        <w:t xml:space="preserve">k.almansoori@meridiantech.ae | +971 4 555 0124</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Apex Engineering &amp; Consultancy FZE</w:t>
      </w:r>
    </w:p>
    <w:p>
      <w:pPr>
        <w:pStyle w:val="BodyText"/>
      </w:pPr>
      <w:r>
        <w:rPr>
          <w:bCs/>
          <w:b/>
        </w:rPr>
        <w:t xml:space="preserve">Address:</w:t>
      </w:r>
      <w:r>
        <w:t xml:space="preserve"> </w:t>
      </w:r>
      <w:r>
        <w:t xml:space="preserve">Unit 7, Dubai Internet City, P.O. Box 501234, Dubai, United Arab Emirates</w:t>
      </w:r>
    </w:p>
    <w:p>
      <w:pPr>
        <w:pStyle w:val="BodyText"/>
      </w:pPr>
      <w:r>
        <w:rPr>
          <w:bCs/>
          <w:b/>
        </w:rPr>
        <w:t xml:space="preserve">Authorized Signatory:</w:t>
      </w:r>
      <w:r>
        <w:t xml:space="preserve"> </w:t>
      </w:r>
      <w:r>
        <w:t xml:space="preserve">Ms. Sarah Al Farsi, Managing Director</w:t>
      </w:r>
    </w:p>
    <w:p>
      <w:pPr>
        <w:pStyle w:val="BodyText"/>
      </w:pPr>
      <w:r>
        <w:rPr>
          <w:bCs/>
          <w:b/>
        </w:rPr>
        <w:t xml:space="preserve">Contact:</w:t>
      </w:r>
      <w:r>
        <w:t xml:space="preserve"> </w:t>
      </w:r>
      <w:r>
        <w:t xml:space="preserve">s.alfarsi@apexeng.ae | +971 4 555 0789</w:t>
      </w:r>
    </w:p>
    <w:bookmarkEnd w:id="22"/>
    <w:p>
      <w:pPr>
        <w:pStyle w:val="BodyText"/>
      </w:pPr>
      <w:r>
        <w:t xml:space="preserve">1. Description of Goods / Services</w:t>
      </w:r>
    </w:p>
    <w:p>
      <w:pPr>
        <w:pStyle w:val="BodyText"/>
      </w:pPr>
      <w:r>
        <w:t xml:space="preserve">This Purchase Order is issued by Meridian Technical Solutions LLC for the engagement of a qualified</w:t>
      </w:r>
      <w:r>
        <w:t xml:space="preserve"> </w:t>
      </w:r>
      <w:r>
        <w:rPr>
          <w:bCs/>
          <w:b/>
        </w:rPr>
        <w:t xml:space="preserve">Electronics Engineer</w:t>
      </w:r>
      <w:r>
        <w:t xml:space="preserve"> </w:t>
      </w:r>
      <w:r>
        <w:t xml:space="preserve">to provide specialized technical services in support of the buyer's ongoing smart infrastructure project located in the Dubai International Financial Centre (DIFC) district, United Arab Emirates. The Electronics Engineer shall be responsible for the design, testing, commissioning, and maintenance of embedded electronic systems, signal processing units, and industrial control panels as detailed in the attached Statement of Work (SOW-2025-112).</w:t>
      </w:r>
    </w:p>
    <w:p>
      <w:pPr>
        <w:pStyle w:val="BodyText"/>
      </w:pPr>
      <w:r>
        <w:t xml:space="preserve">2. Scope of Services – Electronics Engineer</w:t>
      </w:r>
    </w:p>
    <w:p>
      <w:pPr>
        <w:pStyle w:val="BodyText"/>
      </w:pPr>
      <w:r>
        <w:t xml:space="preserve">The Electronics Engineer engaged under this Purchase Order shall perform the following duties within the United Arab Emirates Dubai jurisdiction:</w:t>
      </w:r>
    </w:p>
    <w:p>
      <w:pPr>
        <w:numPr>
          <w:ilvl w:val="0"/>
          <w:numId w:val="1001"/>
        </w:numPr>
        <w:pStyle w:val="Compact"/>
      </w:pPr>
      <w:r>
        <w:t xml:space="preserve">Design and development of custom printed circuit board (PCB) assemblies for the buyer's IoT sensor network spanning 45 commercial buildings in Dubai.</w:t>
      </w:r>
    </w:p>
    <w:p>
      <w:pPr>
        <w:numPr>
          <w:ilvl w:val="0"/>
          <w:numId w:val="1001"/>
        </w:numPr>
        <w:pStyle w:val="Compact"/>
      </w:pPr>
      <w:r>
        <w:t xml:space="preserve">Conducting electromagnetic compatibility (EMC) testing and certification in compliance with Emirates Telecommunications Corporation (Etisalat) and the Telecommunications and Digital Government Regulatory Authority (TDRA) standards.</w:t>
      </w:r>
    </w:p>
    <w:p>
      <w:pPr>
        <w:numPr>
          <w:ilvl w:val="0"/>
          <w:numId w:val="1001"/>
        </w:numPr>
        <w:pStyle w:val="Compact"/>
      </w:pPr>
      <w:r>
        <w:t xml:space="preserve">Providing on-site technical supervision at the DIFC project site, Monday through Friday, 08:00 to 17:00 UAE Standard Time (GST, UTC+4).</w:t>
      </w:r>
    </w:p>
    <w:p>
      <w:pPr>
        <w:numPr>
          <w:ilvl w:val="0"/>
          <w:numId w:val="1001"/>
        </w:numPr>
        <w:pStyle w:val="Compact"/>
      </w:pPr>
      <w:r>
        <w:t xml:space="preserve">Preparing comprehensive technical documentation, including schematics, Bill of Materials (BOM), and test reports, in both English and Arabic as required by local regulatory authorities in the United Arab Emirates.</w:t>
      </w:r>
    </w:p>
    <w:p>
      <w:pPr>
        <w:numPr>
          <w:ilvl w:val="0"/>
          <w:numId w:val="1001"/>
        </w:numPr>
        <w:pStyle w:val="Compact"/>
      </w:pPr>
      <w:r>
        <w:t xml:space="preserve">Mentoring and coordinating with the buyer's in-house technical team of six junior engineers based in Dubai.</w:t>
      </w:r>
    </w:p>
    <w:p>
      <w:pPr>
        <w:numPr>
          <w:ilvl w:val="0"/>
          <w:numId w:val="1001"/>
        </w:numPr>
        <w:pStyle w:val="Compact"/>
      </w:pPr>
      <w:r>
        <w:t xml:space="preserve">Ensuring all electronic components and subsystems comply with the UAE Standards (GSO) and Dubai Municipality electrical safety codes.</w:t>
      </w:r>
    </w:p>
    <w:p>
      <w:pPr>
        <w:pStyle w:val="FirstParagraph"/>
      </w:pPr>
      <w:r>
        <w:t xml:space="preserve">3. Pricing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Electronics Engineer – Senior (15+ years experience) – Monthly Professional Fee</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Electronics Engineer – On-Site Supervision &amp; Commissioning (DIFC Site)</w:t>
            </w:r>
          </w:p>
        </w:tc>
        <w:tc>
          <w:tcPr/>
          <w:p>
            <w:pPr>
              <w:pStyle w:val="Compact"/>
              <w:jc w:val="left"/>
            </w:pPr>
            <w:r>
              <w:t xml:space="preserve">120 days</w:t>
            </w:r>
          </w:p>
        </w:tc>
        <w:tc>
          <w:tcPr/>
          <w:p>
            <w:pPr>
              <w:pStyle w:val="Compact"/>
              <w:jc w:val="left"/>
            </w:pPr>
            <w:r>
              <w:t xml:space="preserve">1,200.00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Technical Documentation &amp; Regulatory Compliance Reporting (TDRA / GSO)</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Emergency Call-Out &amp; Troubleshooting (24/7 availability, Dubai, UAE)</w:t>
            </w:r>
          </w:p>
        </w:tc>
        <w:tc>
          <w:tcPr/>
          <w:p>
            <w:pPr>
              <w:pStyle w:val="Compact"/>
              <w:jc w:val="left"/>
            </w:pPr>
            <w:r>
              <w:t xml:space="preserve">12 calls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right"/>
            </w:pPr>
            <w:r>
              <w:t xml:space="preserve">Subtotal</w:t>
            </w:r>
          </w:p>
        </w:tc>
        <w:tc>
          <w:tcPr/>
          <w:p>
            <w:pPr>
              <w:pStyle w:val="Compact"/>
              <w:jc w:val="left"/>
            </w:pPr>
            <w:r>
              <w:t xml:space="preserve">462,500.00</w:t>
            </w:r>
          </w:p>
        </w:tc>
      </w:tr>
      <w:tr>
        <w:tc>
          <w:tcPr>
            <w:gridSpan w:val="4"/>
          </w:tcPr>
          <w:p>
            <w:pPr>
              <w:pStyle w:val="Compact"/>
              <w:jc w:val="right"/>
            </w:pPr>
            <w:r>
              <w:t xml:space="preserve">VAT (5% – UAE Federal Tax Authority)</w:t>
            </w:r>
          </w:p>
        </w:tc>
        <w:tc>
          <w:tcPr/>
          <w:p>
            <w:pPr>
              <w:pStyle w:val="Compact"/>
              <w:jc w:val="left"/>
            </w:pPr>
            <w:r>
              <w:t xml:space="preserve">23,125.00</w:t>
            </w:r>
          </w:p>
        </w:tc>
      </w:tr>
      <w:tr>
        <w:tc>
          <w:tcPr>
            <w:gridSpan w:val="4"/>
          </w:tcPr>
          <w:p>
            <w:pPr>
              <w:pStyle w:val="Compact"/>
              <w:jc w:val="right"/>
            </w:pPr>
            <w:r>
              <w:rPr>
                <w:bCs/>
                <w:b/>
              </w:rPr>
              <w:t xml:space="preserve">Grand Total (AED)</w:t>
            </w:r>
          </w:p>
        </w:tc>
        <w:tc>
          <w:tcPr/>
          <w:p>
            <w:pPr>
              <w:pStyle w:val="Compact"/>
              <w:jc w:val="left"/>
            </w:pPr>
            <w:r>
              <w:rPr>
                <w:bCs/>
                <w:b/>
              </w:rPr>
              <w:t xml:space="preserve">485,625.00</w:t>
            </w:r>
          </w:p>
        </w:tc>
      </w:tr>
    </w:tbl>
    <w:p>
      <w:pPr>
        <w:pStyle w:val="BodyText"/>
      </w:pPr>
      <w:r>
        <w:t xml:space="preserve">4.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and the Dubai International Financial Centre (DIFC) Law No. 1 of 2004, as applicable to the project location in Dubai.</w:t>
      </w:r>
    </w:p>
    <w:p>
      <w:pPr>
        <w:numPr>
          <w:ilvl w:val="0"/>
          <w:numId w:val="1002"/>
        </w:numPr>
        <w:pStyle w:val="Compact"/>
      </w:pPr>
      <w:r>
        <w:rPr>
          <w:bCs/>
          <w:b/>
        </w:rPr>
        <w:t xml:space="preserve">Commencement Date:</w:t>
      </w:r>
      <w:r>
        <w:t xml:space="preserve"> </w:t>
      </w:r>
      <w:r>
        <w:t xml:space="preserve">The Electronics Engineer shall commence services on 1 July 2025 and shall continue for a period of six (6) months, subject to mutual written extension.</w:t>
      </w:r>
    </w:p>
    <w:p>
      <w:pPr>
        <w:numPr>
          <w:ilvl w:val="0"/>
          <w:numId w:val="1002"/>
        </w:numPr>
        <w:pStyle w:val="Compact"/>
      </w:pPr>
      <w:r>
        <w:rPr>
          <w:bCs/>
          <w:b/>
        </w:rPr>
        <w:t xml:space="preserve">Payment:</w:t>
      </w:r>
      <w:r>
        <w:t xml:space="preserve"> </w:t>
      </w:r>
      <w:r>
        <w:t xml:space="preserve">Invoices shall be submitted monthly by the 5th business day. Payment shall be made via bank transfer to the Seller's designated account in the United Arab Emirates within thirty (30) calendar days of invoice receipt. All payments shall be denominated in AED.</w:t>
      </w:r>
    </w:p>
    <w:p>
      <w:pPr>
        <w:numPr>
          <w:ilvl w:val="0"/>
          <w:numId w:val="1002"/>
        </w:numPr>
        <w:pStyle w:val="Compact"/>
      </w:pPr>
      <w:r>
        <w:rPr>
          <w:bCs/>
          <w:b/>
        </w:rPr>
        <w:t xml:space="preserve">Visa &amp; Work Permit:</w:t>
      </w:r>
      <w:r>
        <w:t xml:space="preserve"> </w:t>
      </w:r>
      <w:r>
        <w:t xml:space="preserve">The Seller shall ensure that the Electronics Engineer holds a valid UAE residence visa and a professional work permit issued by the Ministry of Human Resources and Emiratisation (MOHRE) prior to commencing on-site work in Dubai. All associated visa and permit costs are included in the unit rates stated above.</w:t>
      </w:r>
    </w:p>
    <w:p>
      <w:pPr>
        <w:numPr>
          <w:ilvl w:val="0"/>
          <w:numId w:val="1002"/>
        </w:numPr>
        <w:pStyle w:val="Compact"/>
      </w:pPr>
      <w:r>
        <w:rPr>
          <w:bCs/>
          <w:b/>
        </w:rPr>
        <w:t xml:space="preserve">Confidentiality:</w:t>
      </w:r>
      <w:r>
        <w:t xml:space="preserve"> </w:t>
      </w:r>
      <w:r>
        <w:t xml:space="preserve">The Electronics Engineer shall sign a Non-Disclosure Agreement (NDA) in compliance with UAE Federal Decree-Law No. 45 of 2021 on the Protection of Personal Data and the DIFC Data Protection Law before accessing any proprietary technical data.</w:t>
      </w:r>
    </w:p>
    <w:p>
      <w:pPr>
        <w:numPr>
          <w:ilvl w:val="0"/>
          <w:numId w:val="1002"/>
        </w:numPr>
        <w:pStyle w:val="Compact"/>
      </w:pPr>
      <w:r>
        <w:rPr>
          <w:bCs/>
          <w:b/>
        </w:rPr>
        <w:t xml:space="preserve">Insurance:</w:t>
      </w:r>
      <w:r>
        <w:t xml:space="preserve"> </w:t>
      </w:r>
      <w:r>
        <w:t xml:space="preserve">The Seller shall maintain professional indemnity insurance with a minimum coverage of AED 2,000,000 and public liability insurance of AED 1,000,000, valid throughout the duration of this Purchase Order in the United Arab Emirates.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w:t>
      </w:r>
    </w:p>
    <w:p>
      <w:pPr>
        <w:numPr>
          <w:ilvl w:val="0"/>
          <w:numId w:val="1002"/>
        </w:numPr>
        <w:pStyle w:val="Compact"/>
      </w:pPr>
      <w:r>
        <w:rPr>
          <w:bCs/>
          <w:b/>
        </w:rPr>
        <w:t xml:space="preserve">Dispute Resolution:</w:t>
      </w:r>
      <w:r>
        <w:t xml:space="preserve"> </w:t>
      </w:r>
      <w:r>
        <w:t xml:space="preserve">Any dispute arising from this Purchase Order shall be resolved through arbitration in Dubai under the rules of the Dubai International Arbitration Centre (DIAC).</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engagement of the Electronics Engineer in the United Arab Emirates Dubai. This document constitutes a binding commercial agreement upon execution by both authorized signatories.</w:t>
      </w:r>
    </w:p>
    <w:p>
      <w:pPr>
        <w:pStyle w:val="BodyText"/>
      </w:pPr>
      <w:r>
        <w:rPr>
          <w:bCs/>
          <w:b/>
        </w:rPr>
        <w:t xml:space="preserve">For and on behalf of the BUYER</w:t>
      </w:r>
    </w:p>
    <w:p>
      <w:pPr>
        <w:pStyle w:val="BodyText"/>
      </w:pPr>
      <w:r>
        <w:t xml:space="preserve">Meridian Technical Solutions LLC</w:t>
      </w:r>
    </w:p>
    <w:p>
      <w:pPr>
        <w:pStyle w:val="BodyText"/>
      </w:pPr>
      <w:r>
        <w:t xml:space="preserve">Signature: ___________________________</w:t>
      </w:r>
    </w:p>
    <w:p>
      <w:pPr>
        <w:pStyle w:val="BodyText"/>
      </w:pPr>
      <w:r>
        <w:t xml:space="preserve">Name: Mr. Khalid Al Mansoori</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SELLER</w:t>
      </w:r>
    </w:p>
    <w:p>
      <w:pPr>
        <w:pStyle w:val="BodyText"/>
      </w:pPr>
      <w:r>
        <w:t xml:space="preserve">Apex Engineering &amp; Consultancy FZE</w:t>
      </w:r>
    </w:p>
    <w:p>
      <w:pPr>
        <w:pStyle w:val="BodyText"/>
      </w:pPr>
      <w:r>
        <w:t xml:space="preserve">Signature: ___________________________</w:t>
      </w:r>
    </w:p>
    <w:p>
      <w:pPr>
        <w:pStyle w:val="BodyText"/>
      </w:pPr>
      <w:r>
        <w:t xml:space="preserve">Name: Ms. Sarah Al Farsi</w:t>
      </w:r>
    </w:p>
    <w:p>
      <w:pPr>
        <w:pStyle w:val="BodyText"/>
      </w:pPr>
      <w:r>
        <w:t xml:space="preserve">Title: Managing Director</w:t>
      </w:r>
    </w:p>
    <w:p>
      <w:pPr>
        <w:pStyle w:val="BodyText"/>
      </w:pPr>
      <w:r>
        <w:t xml:space="preserve">Date: _______________</w:t>
      </w:r>
    </w:p>
    <w:p>
      <w:pPr>
        <w:pStyle w:val="BodyText"/>
      </w:pPr>
      <w:r>
        <w:rPr>
          <w:bCs/>
          <w:b/>
        </w:rPr>
        <w:t xml:space="preserve">Note:</w:t>
      </w:r>
      <w:r>
        <w:t xml:space="preserve"> </w:t>
      </w:r>
      <w:r>
        <w:t xml:space="preserve">This Purchase Order (PO-2025-04871) is issued in accordance with the internal procurement policies of Meridian Technical Solutions LLC and complies with all applicable regulations of the United Arab Emirates Dubai government, including the Dubai Municipality, TDRA, and MOHRE requirements for the engagement of a licensed Electronics Engineer. All technical deliverables must be submitted to the Buyer's project office in Downtown Dubai no later than the 28th of each month. This document is valid for a period of thirty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United Arab Emirates Dubai</dc:title>
  <dc:creator/>
  <dc:language>en</dc:language>
  <cp:keywords/>
  <dcterms:created xsi:type="dcterms:W3CDTF">2026-10-10T01:16:34Z</dcterms:created>
  <dcterms:modified xsi:type="dcterms:W3CDTF">2026-10-10T01:16:34Z</dcterms:modified>
</cp:coreProperties>
</file>

<file path=docProps/custom.xml><?xml version="1.0" encoding="utf-8"?>
<Properties xmlns="http://schemas.openxmlformats.org/officeDocument/2006/custom-properties" xmlns:vt="http://schemas.openxmlformats.org/officeDocument/2006/docPropsVTypes"/>
</file>