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Environmental</w:t>
      </w:r>
      <w:r>
        <w:t xml:space="preserve"> </w:t>
      </w:r>
      <w:r>
        <w:t xml:space="preserve">Engineer</w:t>
      </w:r>
      <w:r>
        <w:t xml:space="preserve"> </w:t>
      </w:r>
      <w:r>
        <w:t xml:space="preserve">Services</w:t>
      </w:r>
      <w:r>
        <w:t xml:space="preserve"> </w:t>
      </w:r>
      <w:r>
        <w:t xml:space="preserve">-</w:t>
      </w:r>
      <w:r>
        <w:t xml:space="preserve"> </w:t>
      </w:r>
      <w:r>
        <w:t xml:space="preserve">Japan</w:t>
      </w:r>
      <w:r>
        <w:t xml:space="preserve"> </w:t>
      </w:r>
      <w:r>
        <w:t xml:space="preserve">Kyoto</w:t>
      </w:r>
    </w:p>
    <w:bookmarkStart w:id="25" w:name="purchase-order"/>
    <w:p>
      <w:pPr>
        <w:pStyle w:val="Heading1"/>
      </w:pPr>
      <w:r>
        <w:t xml:space="preserve">PURCHASE ORDER</w:t>
      </w:r>
    </w:p>
    <w:p>
      <w:pPr>
        <w:pStyle w:val="FirstParagraph"/>
      </w:pPr>
      <w:r>
        <w:rPr>
          <w:bCs/>
          <w:b/>
        </w:rPr>
        <w:t xml:space="preserve">Purchase Order No.:</w:t>
      </w:r>
      <w:r>
        <w:t xml:space="preserve"> </w:t>
      </w:r>
      <w:r>
        <w:t xml:space="preserve">PO-JP-KYO-2025-04782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Country of Execution:</w:t>
      </w:r>
      <w:r>
        <w:t xml:space="preserve"> </w:t>
      </w:r>
      <w:r>
        <w:t xml:space="preserve">Japan Kyoto</w:t>
      </w:r>
    </w:p>
    <w:p>
      <w:pPr>
        <w:pStyle w:val="BodyText"/>
      </w:pPr>
      <w:r>
        <w:rPr>
          <w:bCs/>
          <w:b/>
        </w:rPr>
        <w:t xml:space="preserve">Issued By:</w:t>
      </w:r>
      <w:r>
        <w:t xml:space="preserve"> </w:t>
      </w:r>
      <w:r>
        <w:t xml:space="preserve">Kyoto Municipal Environmental Authority</w:t>
      </w:r>
    </w:p>
    <w:p>
      <w:pPr>
        <w:pStyle w:val="BodyText"/>
      </w:pPr>
      <w:r>
        <w:rPr>
          <w:bCs/>
          <w:b/>
        </w:rPr>
        <w:t xml:space="preserve">Address:</w:t>
      </w:r>
      <w:r>
        <w:t xml:space="preserve"> </w:t>
      </w:r>
      <w:r>
        <w:t xml:space="preserve">1-1-1 Higashiyama-ku, Kyoto, Japan 605-0000</w:t>
      </w:r>
    </w:p>
    <w:p>
      <w:pPr>
        <w:pStyle w:val="BodyText"/>
      </w:pPr>
      <w:r>
        <w:rPr>
          <w:bCs/>
          <w:b/>
        </w:rPr>
        <w:t xml:space="preserve">Contact:</w:t>
      </w:r>
      <w:r>
        <w:t xml:space="preserve"> </w:t>
      </w:r>
      <w:r>
        <w:t xml:space="preserve">procurement@kyoto-env.go.jp</w:t>
      </w:r>
    </w:p>
    <w:p>
      <w:pPr>
        <w:pStyle w:val="BodyText"/>
      </w:pPr>
      <w:r>
        <w:rPr>
          <w:bCs/>
          <w:b/>
        </w:rPr>
        <w:t xml:space="preserve">Phone:</w:t>
      </w:r>
      <w:r>
        <w:t xml:space="preserve"> </w:t>
      </w:r>
      <w:r>
        <w:t xml:space="preserve">+81-75-555-0142</w:t>
      </w:r>
    </w:p>
    <w:bookmarkStart w:id="20" w:name="supplier-vendor-information"/>
    <w:p>
      <w:pPr>
        <w:pStyle w:val="Heading2"/>
      </w:pPr>
      <w:r>
        <w:t xml:space="preserve">1. Supplier /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GreenScape Environmental Consulting Co., Ltd.</w:t>
            </w:r>
          </w:p>
        </w:tc>
      </w:tr>
      <w:tr>
        <w:tc>
          <w:tcPr/>
          <w:p>
            <w:pPr>
              <w:pStyle w:val="Compact"/>
              <w:jc w:val="left"/>
            </w:pPr>
            <w:r>
              <w:t xml:space="preserve">Registered Address</w:t>
            </w:r>
          </w:p>
        </w:tc>
        <w:tc>
          <w:tcPr/>
          <w:p>
            <w:pPr>
              <w:pStyle w:val="Compact"/>
              <w:jc w:val="left"/>
            </w:pPr>
            <w:r>
              <w:t xml:space="preserve">8-2-14 Nakagyo-ku, Kyoto, Japan 604-8001</w:t>
            </w:r>
          </w:p>
        </w:tc>
      </w:tr>
      <w:tr>
        <w:tc>
          <w:tcPr/>
          <w:p>
            <w:pPr>
              <w:pStyle w:val="Compact"/>
              <w:jc w:val="left"/>
            </w:pPr>
            <w:r>
              <w:t xml:space="preserve">Tax Identification No.</w:t>
            </w:r>
          </w:p>
        </w:tc>
        <w:tc>
          <w:tcPr/>
          <w:p>
            <w:pPr>
              <w:pStyle w:val="Compact"/>
              <w:jc w:val="left"/>
            </w:pPr>
            <w:r>
              <w:t xml:space="preserve">JP-TIN-2025-88431</w:t>
            </w:r>
          </w:p>
        </w:tc>
      </w:tr>
      <w:tr>
        <w:tc>
          <w:tcPr/>
          <w:p>
            <w:pPr>
              <w:pStyle w:val="Compact"/>
              <w:jc w:val="left"/>
            </w:pPr>
            <w:r>
              <w:t xml:space="preserve">Primary Contact</w:t>
            </w:r>
          </w:p>
        </w:tc>
        <w:tc>
          <w:tcPr/>
          <w:p>
            <w:pPr>
              <w:pStyle w:val="Compact"/>
              <w:jc w:val="left"/>
            </w:pPr>
            <w:r>
              <w:t xml:space="preserve">Dr. Haruki Tanaka, Senior</w:t>
            </w:r>
            <w:r>
              <w:t xml:space="preserve"> </w:t>
            </w:r>
            <w:r>
              <w:t xml:space="preserve">Environmental Engineer</w:t>
            </w:r>
          </w:p>
        </w:tc>
      </w:tr>
      <w:tr>
        <w:tc>
          <w:tcPr/>
          <w:p>
            <w:pPr>
              <w:pStyle w:val="Compact"/>
              <w:jc w:val="left"/>
            </w:pPr>
            <w:r>
              <w:t xml:space="preserve">Email</w:t>
            </w:r>
          </w:p>
        </w:tc>
        <w:tc>
          <w:tcPr/>
          <w:p>
            <w:pPr>
              <w:pStyle w:val="Compact"/>
              <w:jc w:val="left"/>
            </w:pPr>
            <w:r>
              <w:t xml:space="preserve">h.tanaka@greenscape-eco.jp</w:t>
            </w:r>
          </w:p>
        </w:tc>
      </w:tr>
      <w:tr>
        <w:tc>
          <w:tcPr/>
          <w:p>
            <w:pPr>
              <w:pStyle w:val="Compact"/>
              <w:jc w:val="left"/>
            </w:pPr>
            <w:r>
              <w:t xml:space="preserve">Phone</w:t>
            </w:r>
          </w:p>
        </w:tc>
        <w:tc>
          <w:tcPr/>
          <w:p>
            <w:pPr>
              <w:pStyle w:val="Compact"/>
              <w:jc w:val="left"/>
            </w:pPr>
            <w:r>
              <w:t xml:space="preserve">+81-75-555-0387</w:t>
            </w:r>
          </w:p>
        </w:tc>
      </w:tr>
    </w:tbl>
    <w:bookmarkEnd w:id="20"/>
    <w:bookmarkStart w:id="21" w:name="X91624c8006322d9c0ec5bda49799902472a9cd3"/>
    <w:p>
      <w:pPr>
        <w:pStyle w:val="Heading2"/>
      </w:pPr>
      <w:r>
        <w:t xml:space="preserve">2. Scope of Work – Environmental Engineer Services in Japan Kyoto</w:t>
      </w:r>
    </w:p>
    <w:p>
      <w:pPr>
        <w:pStyle w:val="FirstParagraph"/>
      </w:pPr>
      <w:r>
        <w:t xml:space="preserve">This</w:t>
      </w:r>
      <w:r>
        <w:t xml:space="preserve"> </w:t>
      </w:r>
      <w:r>
        <w:t xml:space="preserve">Purchase Order</w:t>
      </w:r>
      <w:r>
        <w:t xml:space="preserve"> </w:t>
      </w:r>
      <w:r>
        <w:t xml:space="preserve">is issued by the Kyoto Municipal Environmental Authority to procure the professional services of a qualified</w:t>
      </w:r>
      <w:r>
        <w:t xml:space="preserve"> </w:t>
      </w:r>
      <w:r>
        <w:t xml:space="preserve">Environmental Engineer</w:t>
      </w:r>
      <w:r>
        <w:t xml:space="preserve"> </w:t>
      </w:r>
      <w:r>
        <w:t xml:space="preserve">for the comprehensive environmental impact assessment, water quality monitoring, and sustainable infrastructure planning project located within the metropolitan area of</w:t>
      </w:r>
      <w:r>
        <w:t xml:space="preserve"> </w:t>
      </w:r>
      <w:r>
        <w:t xml:space="preserve">Japan Kyoto</w:t>
      </w:r>
      <w:r>
        <w:t xml:space="preserve">. The</w:t>
      </w:r>
      <w:r>
        <w:t xml:space="preserve"> </w:t>
      </w:r>
      <w:r>
        <w:t xml:space="preserve">Environmental Engineer</w:t>
      </w:r>
      <w:r>
        <w:t xml:space="preserve"> </w:t>
      </w:r>
      <w:r>
        <w:t xml:space="preserve">shall be responsible for conducting field surveys, laboratory analysis, regulatory compliance reporting, and the preparation of technical documentation in accordance with the standards set forth by the Ministry of the Environment of Japan and the Kyoto Prefectural Government.</w:t>
      </w:r>
    </w:p>
    <w:p>
      <w:pPr>
        <w:pStyle w:val="BodyText"/>
      </w:pPr>
      <w:r>
        <w:t xml:space="preserve">The engagement of the</w:t>
      </w:r>
      <w:r>
        <w:t xml:space="preserve"> </w:t>
      </w:r>
      <w:r>
        <w:t xml:space="preserve">Environmental Engineer</w:t>
      </w:r>
      <w:r>
        <w:t xml:space="preserve"> </w:t>
      </w:r>
      <w:r>
        <w:t xml:space="preserve">under this</w:t>
      </w:r>
      <w:r>
        <w:t xml:space="preserve"> </w:t>
      </w:r>
      <w:r>
        <w:t xml:space="preserve">Purchase Order</w:t>
      </w:r>
      <w:r>
        <w:t xml:space="preserve"> </w:t>
      </w:r>
      <w:r>
        <w:t xml:space="preserve">is specifically scoped to address the following deliverables within the</w:t>
      </w:r>
      <w:r>
        <w:t xml:space="preserve"> </w:t>
      </w:r>
      <w:r>
        <w:t xml:space="preserve">Japan Kyoto</w:t>
      </w:r>
      <w:r>
        <w:t xml:space="preserve"> </w:t>
      </w:r>
      <w:r>
        <w:t xml:space="preserve">region:</w:t>
      </w:r>
    </w:p>
    <w:p>
      <w:pPr>
        <w:numPr>
          <w:ilvl w:val="0"/>
          <w:numId w:val="1001"/>
        </w:numPr>
        <w:pStyle w:val="Compact"/>
      </w:pPr>
      <w:r>
        <w:t xml:space="preserve">Full environmental baseline survey of the Kamo River corridor and adjacent wetland zones in central Kyoto.</w:t>
      </w:r>
    </w:p>
    <w:p>
      <w:pPr>
        <w:numPr>
          <w:ilvl w:val="0"/>
          <w:numId w:val="1001"/>
        </w:numPr>
        <w:pStyle w:val="Compact"/>
      </w:pPr>
      <w:r>
        <w:t xml:space="preserve">Design and implementation of a continuous water quality monitoring network comprising no fewer than twelve (12) sensor stations across the</w:t>
      </w:r>
      <w:r>
        <w:t xml:space="preserve"> </w:t>
      </w:r>
      <w:r>
        <w:t xml:space="preserve">Japan Kyoto</w:t>
      </w:r>
      <w:r>
        <w:t xml:space="preserve"> </w:t>
      </w:r>
      <w:r>
        <w:t xml:space="preserve">basin.</w:t>
      </w:r>
    </w:p>
    <w:p>
      <w:pPr>
        <w:numPr>
          <w:ilvl w:val="0"/>
          <w:numId w:val="1001"/>
        </w:numPr>
        <w:pStyle w:val="Compact"/>
      </w:pPr>
      <w:r>
        <w:t xml:space="preserve">Preparation of a detailed Environmental Impact Assessment (EIA) report for the proposed Kyoto Green Corridor Transit Expansion Project.</w:t>
      </w:r>
    </w:p>
    <w:p>
      <w:pPr>
        <w:numPr>
          <w:ilvl w:val="0"/>
          <w:numId w:val="1001"/>
        </w:numPr>
        <w:pStyle w:val="Compact"/>
      </w:pPr>
      <w:r>
        <w:t xml:space="preserve">Development of a five-year air quality improvement plan addressing particulate matter (PM2.5) and nitrogen oxide (NOx) concentrations in the Higashiyama and Nakagyo wards.</w:t>
      </w:r>
    </w:p>
    <w:p>
      <w:pPr>
        <w:numPr>
          <w:ilvl w:val="0"/>
          <w:numId w:val="1001"/>
        </w:numPr>
        <w:pStyle w:val="Compact"/>
      </w:pPr>
      <w:r>
        <w:t xml:space="preserve">Regulatory compliance review and submission of all required permits to the Kyoto Prefectural Environmental Bureau.</w:t>
      </w:r>
    </w:p>
    <w:p>
      <w:pPr>
        <w:numPr>
          <w:ilvl w:val="0"/>
          <w:numId w:val="1001"/>
        </w:numPr>
        <w:pStyle w:val="Compact"/>
      </w:pPr>
      <w:r>
        <w:t xml:space="preserve">Monthly progress reporting to the Kyoto Municipal Environmental Authority and quarterly public disclosure briefings.</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Senior</w:t>
            </w:r>
            <w:r>
              <w:t xml:space="preserve"> </w:t>
            </w:r>
            <w:r>
              <w:t xml:space="preserve">Environmental Engineer</w:t>
            </w:r>
            <w:r>
              <w:t xml:space="preserve"> </w:t>
            </w:r>
            <w:r>
              <w:t xml:space="preserve">– On-site field survey and data collection (Kamo River corridor,</w:t>
            </w:r>
            <w:r>
              <w:t xml:space="preserve"> </w:t>
            </w:r>
            <w:r>
              <w:t xml:space="preserve">Japan Kyoto</w:t>
            </w:r>
            <w:r>
              <w:t xml:space="preserve">)</w:t>
            </w:r>
          </w:p>
        </w:tc>
        <w:tc>
          <w:tcPr/>
          <w:p>
            <w:pPr>
              <w:pStyle w:val="Compact"/>
              <w:jc w:val="left"/>
            </w:pPr>
            <w:r>
              <w:t xml:space="preserve">Month</w:t>
            </w:r>
          </w:p>
        </w:tc>
        <w:tc>
          <w:tcPr/>
          <w:p>
            <w:pPr>
              <w:pStyle w:val="Compact"/>
              <w:jc w:val="left"/>
            </w:pPr>
            <w:r>
              <w:t xml:space="preserve">6</w:t>
            </w:r>
          </w:p>
        </w:tc>
        <w:tc>
          <w:tcPr/>
          <w:p>
            <w:pPr>
              <w:pStyle w:val="Compact"/>
              <w:jc w:val="left"/>
            </w:pPr>
            <w:r>
              <w:t xml:space="preserve">1,250,000</w:t>
            </w:r>
          </w:p>
        </w:tc>
        <w:tc>
          <w:tcPr/>
          <w:p>
            <w:pPr>
              <w:pStyle w:val="Compact"/>
              <w:jc w:val="left"/>
            </w:pPr>
            <w:r>
              <w:t xml:space="preserve">7,500,000</w:t>
            </w:r>
          </w:p>
        </w:tc>
      </w:tr>
      <w:tr>
        <w:tc>
          <w:tcPr/>
          <w:p>
            <w:pPr>
              <w:pStyle w:val="Compact"/>
              <w:jc w:val="left"/>
            </w:pPr>
            <w:r>
              <w:t xml:space="preserve">02</w:t>
            </w:r>
          </w:p>
        </w:tc>
        <w:tc>
          <w:tcPr/>
          <w:p>
            <w:pPr>
              <w:pStyle w:val="Compact"/>
              <w:jc w:val="left"/>
            </w:pPr>
            <w:r>
              <w:t xml:space="preserve">Water quality monitoring network design, installation, and calibration (12 stations,</w:t>
            </w:r>
            <w:r>
              <w:t xml:space="preserve"> </w:t>
            </w:r>
            <w:r>
              <w:t xml:space="preserve">Japan Kyoto</w:t>
            </w:r>
            <w:r>
              <w:t xml:space="preserve">)</w:t>
            </w:r>
          </w:p>
        </w:tc>
        <w:tc>
          <w:tcPr/>
          <w:p>
            <w:pPr>
              <w:pStyle w:val="Compact"/>
              <w:jc w:val="left"/>
            </w:pPr>
            <w:r>
              <w:t xml:space="preserve">Lot</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03</w:t>
            </w:r>
          </w:p>
        </w:tc>
        <w:tc>
          <w:tcPr/>
          <w:p>
            <w:pPr>
              <w:pStyle w:val="Compact"/>
              <w:jc w:val="left"/>
            </w:pPr>
            <w:r>
              <w:t xml:space="preserve">Environmental Impact Assessment report preparation and regulatory submission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Air quality improvement plan – five-year strategic document for</w:t>
            </w:r>
            <w:r>
              <w:t xml:space="preserve"> </w:t>
            </w:r>
            <w:r>
              <w:t xml:space="preserve">Japan Kyoto</w:t>
            </w:r>
          </w:p>
        </w:tc>
        <w:tc>
          <w:tcPr/>
          <w:p>
            <w:pPr>
              <w:pStyle w:val="Compact"/>
              <w:jc w:val="left"/>
            </w:pPr>
            <w:r>
              <w:t xml:space="preserve">Lot</w:t>
            </w:r>
          </w:p>
        </w:tc>
        <w:tc>
          <w:tcPr/>
          <w:p>
            <w:pPr>
              <w:pStyle w:val="Compact"/>
              <w:jc w:val="left"/>
            </w:pPr>
            <w:r>
              <w:t xml:space="preserve">1</w:t>
            </w:r>
          </w:p>
        </w:tc>
        <w:tc>
          <w:tcPr/>
          <w:p>
            <w:pPr>
              <w:pStyle w:val="Compact"/>
              <w:jc w:val="left"/>
            </w:pPr>
            <w:r>
              <w:t xml:space="preserve">2,100,000</w:t>
            </w:r>
          </w:p>
        </w:tc>
        <w:tc>
          <w:tcPr/>
          <w:p>
            <w:pPr>
              <w:pStyle w:val="Compact"/>
              <w:jc w:val="left"/>
            </w:pPr>
            <w:r>
              <w:t xml:space="preserve">2,100,000</w:t>
            </w:r>
          </w:p>
        </w:tc>
      </w:tr>
      <w:tr>
        <w:tc>
          <w:tcPr/>
          <w:p>
            <w:pPr>
              <w:pStyle w:val="Compact"/>
              <w:jc w:val="left"/>
            </w:pPr>
            <w:r>
              <w:t xml:space="preserve">05</w:t>
            </w:r>
          </w:p>
        </w:tc>
        <w:tc>
          <w:tcPr/>
          <w:p>
            <w:pPr>
              <w:pStyle w:val="Compact"/>
              <w:jc w:val="left"/>
            </w:pPr>
            <w:r>
              <w:t xml:space="preserve">Laboratory analysis services – heavy metals, microbial, and chemical panel testing</w:t>
            </w:r>
          </w:p>
        </w:tc>
        <w:tc>
          <w:tcPr/>
          <w:p>
            <w:pPr>
              <w:pStyle w:val="Compact"/>
              <w:jc w:val="left"/>
            </w:pPr>
            <w:r>
              <w:t xml:space="preserve">Sample</w:t>
            </w:r>
          </w:p>
        </w:tc>
        <w:tc>
          <w:tcPr/>
          <w:p>
            <w:pPr>
              <w:pStyle w:val="Compact"/>
              <w:jc w:val="left"/>
            </w:pPr>
            <w:r>
              <w:t xml:space="preserve">240</w:t>
            </w:r>
          </w:p>
        </w:tc>
        <w:tc>
          <w:tcPr/>
          <w:p>
            <w:pPr>
              <w:pStyle w:val="Compact"/>
              <w:jc w:val="left"/>
            </w:pPr>
            <w:r>
              <w:t xml:space="preserve">18,500</w:t>
            </w:r>
          </w:p>
        </w:tc>
        <w:tc>
          <w:tcPr/>
          <w:p>
            <w:pPr>
              <w:pStyle w:val="Compact"/>
              <w:jc w:val="left"/>
            </w:pPr>
            <w:r>
              <w:t xml:space="preserve">4,440,000</w:t>
            </w:r>
          </w:p>
        </w:tc>
      </w:tr>
      <w:tr>
        <w:tc>
          <w:tcPr/>
          <w:p>
            <w:pPr>
              <w:pStyle w:val="Compact"/>
              <w:jc w:val="left"/>
            </w:pPr>
            <w:r>
              <w:t xml:space="preserve">06</w:t>
            </w:r>
          </w:p>
        </w:tc>
        <w:tc>
          <w:tcPr/>
          <w:p>
            <w:pPr>
              <w:pStyle w:val="Compact"/>
              <w:jc w:val="left"/>
            </w:pPr>
            <w:r>
              <w:t xml:space="preserve">Monthly progress reporting and quarterly public briefing preparation</w:t>
            </w:r>
          </w:p>
        </w:tc>
        <w:tc>
          <w:tcPr/>
          <w:p>
            <w:pPr>
              <w:pStyle w:val="Compact"/>
              <w:jc w:val="left"/>
            </w:pPr>
            <w:r>
              <w:t xml:space="preserve">Month</w:t>
            </w:r>
          </w:p>
        </w:tc>
        <w:tc>
          <w:tcPr/>
          <w:p>
            <w:pPr>
              <w:pStyle w:val="Compact"/>
              <w:jc w:val="left"/>
            </w:pPr>
            <w:r>
              <w:t xml:space="preserve">6</w:t>
            </w:r>
          </w:p>
        </w:tc>
        <w:tc>
          <w:tcPr/>
          <w:p>
            <w:pPr>
              <w:pStyle w:val="Compact"/>
              <w:jc w:val="left"/>
            </w:pPr>
            <w:r>
              <w:t xml:space="preserve">350,000</w:t>
            </w:r>
          </w:p>
        </w:tc>
        <w:tc>
          <w:tcPr/>
          <w:p>
            <w:pPr>
              <w:pStyle w:val="Compact"/>
              <w:jc w:val="left"/>
            </w:pPr>
            <w:r>
              <w:t xml:space="preserve">2,100,000</w:t>
            </w:r>
          </w:p>
        </w:tc>
      </w:tr>
      <w:tr>
        <w:tc>
          <w:tcPr/>
          <w:p>
            <w:pPr>
              <w:pStyle w:val="Compact"/>
              <w:jc w:val="left"/>
            </w:pPr>
            <w:r>
              <w:t xml:space="preserve">07</w:t>
            </w:r>
          </w:p>
        </w:tc>
        <w:tc>
          <w:tcPr/>
          <w:p>
            <w:pPr>
              <w:pStyle w:val="Compact"/>
              <w:jc w:val="left"/>
            </w:pPr>
            <w:r>
              <w:t xml:space="preserve">Travel, accommodation, and field equipment rental within</w:t>
            </w:r>
            <w:r>
              <w:t xml:space="preserve"> </w:t>
            </w:r>
            <w:r>
              <w:t xml:space="preserve">Japan Kyoto</w:t>
            </w:r>
            <w:r>
              <w:t xml:space="preserve"> </w:t>
            </w:r>
            <w:r>
              <w:t xml:space="preserve">prefecture</w:t>
            </w:r>
          </w:p>
        </w:tc>
        <w:tc>
          <w:tcPr/>
          <w:p>
            <w:pPr>
              <w:pStyle w:val="Compact"/>
              <w:jc w:val="left"/>
            </w:pPr>
            <w:r>
              <w:t xml:space="preserve">Month</w:t>
            </w:r>
          </w:p>
        </w:tc>
        <w:tc>
          <w:tcPr/>
          <w:p>
            <w:pPr>
              <w:pStyle w:val="Compact"/>
              <w:jc w:val="left"/>
            </w:pPr>
            <w:r>
              <w:t xml:space="preserve">6</w:t>
            </w:r>
          </w:p>
        </w:tc>
        <w:tc>
          <w:tcPr/>
          <w:p>
            <w:pPr>
              <w:pStyle w:val="Compact"/>
              <w:jc w:val="left"/>
            </w:pPr>
            <w:r>
              <w:t xml:space="preserve">420,000</w:t>
            </w:r>
          </w:p>
        </w:tc>
        <w:tc>
          <w:tcPr/>
          <w:p>
            <w:pPr>
              <w:pStyle w:val="Compact"/>
              <w:jc w:val="left"/>
            </w:pPr>
            <w:r>
              <w:t xml:space="preserve">2,520,000</w:t>
            </w:r>
          </w:p>
        </w:tc>
      </w:tr>
      <w:tr>
        <w:tc>
          <w:tcPr>
            <w:gridSpan w:val="5"/>
          </w:tcPr>
          <w:p>
            <w:pPr>
              <w:pStyle w:val="Compact"/>
              <w:jc w:val="left"/>
            </w:pPr>
            <w:r>
              <w:t xml:space="preserve">Subtotal</w:t>
            </w:r>
          </w:p>
        </w:tc>
        <w:tc>
          <w:tcPr/>
          <w:p>
            <w:pPr>
              <w:pStyle w:val="Compact"/>
              <w:jc w:val="left"/>
            </w:pPr>
            <w:r>
              <w:t xml:space="preserve">26,660,000</w:t>
            </w:r>
          </w:p>
        </w:tc>
      </w:tr>
      <w:tr>
        <w:tc>
          <w:tcPr>
            <w:gridSpan w:val="5"/>
          </w:tcPr>
          <w:p>
            <w:pPr>
              <w:pStyle w:val="Compact"/>
              <w:jc w:val="left"/>
            </w:pPr>
            <w:r>
              <w:t xml:space="preserve">Consumption Tax (10%)</w:t>
            </w:r>
          </w:p>
        </w:tc>
        <w:tc>
          <w:tcPr/>
          <w:p>
            <w:pPr>
              <w:pStyle w:val="Compact"/>
              <w:jc w:val="left"/>
            </w:pPr>
            <w:r>
              <w:t xml:space="preserve">2,666,000</w:t>
            </w:r>
          </w:p>
        </w:tc>
      </w:tr>
      <w:tr>
        <w:tc>
          <w:tcPr>
            <w:gridSpan w:val="5"/>
          </w:tcPr>
          <w:p>
            <w:pPr>
              <w:pStyle w:val="Compact"/>
              <w:jc w:val="left"/>
            </w:pPr>
            <w:r>
              <w:rPr>
                <w:bCs/>
                <w:b/>
              </w:rPr>
              <w:t xml:space="preserve">Grand Total (JPY)</w:t>
            </w:r>
          </w:p>
        </w:tc>
        <w:tc>
          <w:tcPr/>
          <w:p>
            <w:pPr>
              <w:pStyle w:val="Compact"/>
              <w:jc w:val="left"/>
            </w:pPr>
            <w:r>
              <w:rPr>
                <w:bCs/>
                <w:b/>
              </w:rPr>
              <w:t xml:space="preserve">29,326,000</w:t>
            </w:r>
          </w:p>
        </w:tc>
      </w:tr>
    </w:tbl>
    <w:bookmarkEnd w:id="22"/>
    <w:bookmarkStart w:id="23" w:name="terms-and-conditions"/>
    <w:p>
      <w:pPr>
        <w:pStyle w:val="Heading2"/>
      </w:pPr>
      <w:r>
        <w:t xml:space="preserve">4. Terms and Conditions</w:t>
      </w:r>
    </w:p>
    <w:p>
      <w:pPr>
        <w:numPr>
          <w:ilvl w:val="0"/>
          <w:numId w:val="1002"/>
        </w:numPr>
        <w:pStyle w:val="Compact"/>
      </w:pPr>
      <w:r>
        <w:rPr>
          <w:bCs/>
          <w:b/>
        </w:rPr>
        <w:t xml:space="preserve">Payment Terms:</w:t>
      </w:r>
      <w:r>
        <w:t xml:space="preserve"> </w:t>
      </w:r>
      <w:r>
        <w:t xml:space="preserve">Payment shall be made within forty-five (45) calendar days of receipt of a valid invoice. Invoices must reference this</w:t>
      </w:r>
      <w:r>
        <w:t xml:space="preserve"> </w:t>
      </w:r>
      <w:r>
        <w:t xml:space="preserve">Purchase Order</w:t>
      </w:r>
      <w:r>
        <w:t xml:space="preserve"> </w:t>
      </w:r>
      <w:r>
        <w:t xml:space="preserve">number (PO-JP-KYO-2025-04782) and be submitted to the Kyoto Municipal Environmental Authority accounts payable department.</w:t>
      </w:r>
    </w:p>
    <w:p>
      <w:pPr>
        <w:numPr>
          <w:ilvl w:val="0"/>
          <w:numId w:val="1002"/>
        </w:numPr>
        <w:pStyle w:val="Compact"/>
      </w:pPr>
      <w:r>
        <w:rPr>
          <w:bCs/>
          <w:b/>
        </w:rPr>
        <w:t xml:space="preserve">Performance Period:</w:t>
      </w:r>
      <w:r>
        <w:t xml:space="preserve"> </w:t>
      </w:r>
      <w:r>
        <w:t xml:space="preserve">The</w:t>
      </w:r>
      <w:r>
        <w:t xml:space="preserve"> </w:t>
      </w:r>
      <w:r>
        <w:t xml:space="preserve">Environmental Engineer</w:t>
      </w:r>
      <w:r>
        <w:t xml:space="preserve"> </w:t>
      </w:r>
      <w:r>
        <w:t xml:space="preserve">shall commence work on 1 July 2025 and complete all deliverables no later than 31 December 2025, unless otherwise extended in writing by mutual agreement.</w:t>
      </w:r>
    </w:p>
    <w:p>
      <w:pPr>
        <w:numPr>
          <w:ilvl w:val="0"/>
          <w:numId w:val="1002"/>
        </w:numPr>
        <w:pStyle w:val="Compact"/>
      </w:pPr>
      <w:r>
        <w:rPr>
          <w:bCs/>
          <w:b/>
        </w:rPr>
        <w:t xml:space="preserve">Quality Standards:</w:t>
      </w:r>
      <w:r>
        <w:t xml:space="preserve"> </w:t>
      </w:r>
      <w:r>
        <w:t xml:space="preserve">All work performed by the</w:t>
      </w:r>
      <w:r>
        <w:t xml:space="preserve"> </w:t>
      </w:r>
      <w:r>
        <w:t xml:space="preserve">Environmental Engineer</w:t>
      </w:r>
      <w:r>
        <w:t xml:space="preserve"> </w:t>
      </w:r>
      <w:r>
        <w:t xml:space="preserve">must comply with Japanese Industrial Standards (JIS), the Environmental Basic Law of Japan, and the specific technical guidelines issued by the Kyoto Prefectural Government for environmental monitoring in</w:t>
      </w:r>
      <w:r>
        <w:t xml:space="preserve"> </w:t>
      </w:r>
      <w:r>
        <w:t xml:space="preserve">Japan Kyoto</w:t>
      </w:r>
      <w:r>
        <w:t xml:space="preserve">.</w:t>
      </w:r>
    </w:p>
    <w:p>
      <w:pPr>
        <w:numPr>
          <w:ilvl w:val="0"/>
          <w:numId w:val="1002"/>
        </w:numPr>
        <w:pStyle w:val="Compact"/>
      </w:pPr>
      <w:r>
        <w:rPr>
          <w:bCs/>
          <w:b/>
        </w:rPr>
        <w:t xml:space="preserve">Intellectual Property:</w:t>
      </w:r>
      <w:r>
        <w:t xml:space="preserve"> </w:t>
      </w:r>
      <w:r>
        <w:t xml:space="preserve">All reports, data sets, models, and technical documents produced under this</w:t>
      </w:r>
      <w:r>
        <w:t xml:space="preserve"> </w:t>
      </w:r>
      <w:r>
        <w:t xml:space="preserve">Purchase Order</w:t>
      </w:r>
      <w:r>
        <w:t xml:space="preserve"> </w:t>
      </w:r>
      <w:r>
        <w:t xml:space="preserve">shall become the exclusive property of the Kyoto Municipal Environmental Authority upon full payment.</w:t>
      </w:r>
    </w:p>
    <w:p>
      <w:pPr>
        <w:numPr>
          <w:ilvl w:val="0"/>
          <w:numId w:val="1002"/>
        </w:numPr>
        <w:pStyle w:val="Compact"/>
      </w:pPr>
      <w:r>
        <w:rPr>
          <w:bCs/>
          <w:b/>
        </w:rPr>
        <w:t xml:space="preserve">Confidentiality:</w:t>
      </w:r>
      <w:r>
        <w:t xml:space="preserve"> </w:t>
      </w:r>
      <w:r>
        <w:t xml:space="preserve">The</w:t>
      </w:r>
      <w:r>
        <w:t xml:space="preserve"> </w:t>
      </w:r>
      <w:r>
        <w:t xml:space="preserve">Environmental Engineer</w:t>
      </w:r>
      <w:r>
        <w:t xml:space="preserve"> </w:t>
      </w:r>
      <w:r>
        <w:t xml:space="preserve">and all subcontractors shall maintain strict confidentiality regarding sensitive environmental data collected within the</w:t>
      </w:r>
      <w:r>
        <w:t xml:space="preserve"> </w:t>
      </w:r>
      <w:r>
        <w:t xml:space="preserve">Japan Kyoto</w:t>
      </w:r>
      <w:r>
        <w:t xml:space="preserve"> </w:t>
      </w:r>
      <w:r>
        <w:t xml:space="preserve">region for a period of five (5) years following project completion.</w:t>
      </w:r>
    </w:p>
    <w:p>
      <w:pPr>
        <w:numPr>
          <w:ilvl w:val="0"/>
          <w:numId w:val="1002"/>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Environmental Engineer</w:t>
      </w:r>
      <w:r>
        <w:t xml:space="preserve"> </w:t>
      </w:r>
      <w:r>
        <w:t xml:space="preserve">shall be compensated for all work completed and documented up to the termination date.</w:t>
      </w:r>
    </w:p>
    <w:p>
      <w:pPr>
        <w:numPr>
          <w:ilvl w:val="0"/>
          <w:numId w:val="1002"/>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Japan. Any disputes shall be resolved through arbitration in Kyoto, Japan, under the rules of the Japan Commercial Arbitration Association.</w:t>
      </w:r>
    </w:p>
    <w:p>
      <w:pPr>
        <w:numPr>
          <w:ilvl w:val="0"/>
          <w:numId w:val="1002"/>
        </w:numPr>
        <w:pStyle w:val="Compact"/>
      </w:pPr>
      <w:r>
        <w:rPr>
          <w:bCs/>
          <w:b/>
        </w:rPr>
        <w:t xml:space="preserve">Insurance:</w:t>
      </w:r>
      <w:r>
        <w:t xml:space="preserve"> </w:t>
      </w:r>
      <w:r>
        <w:t xml:space="preserve">The</w:t>
      </w:r>
      <w:r>
        <w:t xml:space="preserve"> </w:t>
      </w:r>
      <w:r>
        <w:t xml:space="preserve">Environmental Engineer</w:t>
      </w:r>
      <w:r>
        <w:t xml:space="preserve"> </w:t>
      </w:r>
      <w:r>
        <w:t xml:space="preserve">shall maintain professional liability insurance with a minimum coverage of JPY 100,000,000 for the duration of the engagement in</w:t>
      </w:r>
      <w:r>
        <w:t xml:space="preserve"> </w:t>
      </w:r>
      <w:r>
        <w:t xml:space="preserve">Japan Kyoto</w:t>
      </w:r>
      <w:r>
        <w:t xml:space="preserve">.</w:t>
      </w:r>
    </w:p>
    <w:bookmarkEnd w:id="23"/>
    <w:bookmarkStart w:id="24" w:name="approval-and-authorization"/>
    <w:p>
      <w:pPr>
        <w:pStyle w:val="Heading2"/>
      </w:pPr>
      <w:r>
        <w:t xml:space="preserve">5. Approval and Authorization</w:t>
      </w:r>
    </w:p>
    <w:p>
      <w:pPr>
        <w:pStyle w:val="FirstParagraph"/>
      </w:pPr>
      <w:r>
        <w:t xml:space="preserve">This</w:t>
      </w:r>
      <w:r>
        <w:t xml:space="preserve"> </w:t>
      </w:r>
      <w:r>
        <w:t xml:space="preserve">Purchase Order</w:t>
      </w:r>
      <w:r>
        <w:t xml:space="preserve"> </w:t>
      </w:r>
      <w:r>
        <w:t xml:space="preserve">for the procurement of</w:t>
      </w:r>
      <w:r>
        <w:t xml:space="preserve"> </w:t>
      </w:r>
      <w:r>
        <w:t xml:space="preserve">Environmental Engineer</w:t>
      </w:r>
      <w:r>
        <w:t xml:space="preserve"> </w:t>
      </w:r>
      <w:r>
        <w:t xml:space="preserve">services in</w:t>
      </w:r>
      <w:r>
        <w:t xml:space="preserve"> </w:t>
      </w:r>
      <w:r>
        <w:t xml:space="preserve">Japan Kyoto</w:t>
      </w:r>
      <w:r>
        <w:t xml:space="preserve"> </w:t>
      </w:r>
      <w:r>
        <w:t xml:space="preserve">has been reviewed and authorized by the undersigned officials of the Kyoto Municipal Environmental Authority. By accepting this</w:t>
      </w:r>
      <w:r>
        <w:t xml:space="preserve"> </w:t>
      </w:r>
      <w:r>
        <w:t xml:space="preserve">Purchase Order</w:t>
      </w:r>
      <w:r>
        <w:t xml:space="preserve">, the supplier acknowledges and agrees to all terms, conditions, and specifications outlined herein.</w:t>
      </w:r>
    </w:p>
    <w:p>
      <w:pPr>
        <w:pStyle w:val="BodyText"/>
      </w:pPr>
      <w:r>
        <w:rPr>
          <w:bCs/>
          <w:b/>
        </w:rPr>
        <w:t xml:space="preserve">For the Kyoto Municipal Environmental Authority:</w:t>
      </w:r>
    </w:p>
    <w:p>
      <w:pPr>
        <w:pStyle w:val="BodyText"/>
      </w:pPr>
      <w:r>
        <w:t xml:space="preserve">Name: Director Yuki Sato</w:t>
      </w:r>
      <w:r>
        <w:br/>
      </w:r>
      <w:r>
        <w:t xml:space="preserve">Title: Director of Procurement</w:t>
      </w:r>
      <w:r>
        <w:br/>
      </w:r>
      <w:r>
        <w:t xml:space="preserve">Date: 14 June 2025</w:t>
      </w:r>
      <w:r>
        <w:br/>
      </w:r>
      <w:r>
        <w:t xml:space="preserve">Signature: _________________________</w:t>
      </w:r>
    </w:p>
    <w:p>
      <w:pPr>
        <w:pStyle w:val="BodyText"/>
      </w:pPr>
      <w:r>
        <w:rPr>
          <w:bCs/>
          <w:b/>
        </w:rPr>
        <w:t xml:space="preserve">For GreenScape Environmental Consulting Co., Ltd.:</w:t>
      </w:r>
    </w:p>
    <w:p>
      <w:pPr>
        <w:pStyle w:val="BodyText"/>
      </w:pPr>
      <w:r>
        <w:t xml:space="preserve">Name: Dr. Haruki Tanaka</w:t>
      </w:r>
      <w:r>
        <w:br/>
      </w:r>
      <w:r>
        <w:t xml:space="preserve">Title: Senior Environmental Engineer / Authorized Signatory</w:t>
      </w:r>
      <w:r>
        <w:br/>
      </w:r>
      <w:r>
        <w:t xml:space="preserve">Date: _______________</w:t>
      </w:r>
      <w:r>
        <w:br/>
      </w:r>
      <w:r>
        <w:t xml:space="preserve">Signature: _________________________</w:t>
      </w:r>
    </w:p>
    <w:p>
      <w:pPr>
        <w:pStyle w:val="BodyText"/>
      </w:pPr>
      <w:r>
        <w:t xml:space="preserve">— End of Purchase Order PO-JP-KYO-2025-04782 —</w:t>
      </w:r>
    </w:p>
    <w:p>
      <w:pPr>
        <w:pStyle w:val="BodyText"/>
      </w:pPr>
      <w:r>
        <w:t xml:space="preserve">This document is issued for the procurement of Environmental Engineer services in Japan Kyoto. All references to the Purchase Order, Environmental Engineer, and Japan Kyoto are integral to the scope and execution of this engagement.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Environmental Engineer Services - Japan Kyoto</dc:title>
  <dc:creator/>
  <dc:language>en</dc:language>
  <cp:keywords/>
  <dcterms:created xsi:type="dcterms:W3CDTF">2026-10-10T04:06:00Z</dcterms:created>
  <dcterms:modified xsi:type="dcterms:W3CDTF">2026-10-10T04:06:00Z</dcterms:modified>
</cp:coreProperties>
</file>

<file path=docProps/custom.xml><?xml version="1.0" encoding="utf-8"?>
<Properties xmlns="http://schemas.openxmlformats.org/officeDocument/2006/custom-properties" xmlns:vt="http://schemas.openxmlformats.org/officeDocument/2006/docPropsVTypes"/>
</file>