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Myanmar</w:t>
      </w:r>
      <w:r>
        <w:t xml:space="preserve"> </w:t>
      </w:r>
      <w:r>
        <w:t xml:space="preserve">Yangon</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PO-MY-2025-00472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Project Reference:</w:t>
      </w:r>
      <w:r>
        <w:t xml:space="preserve"> </w:t>
      </w:r>
      <w:r>
        <w:t xml:space="preserve">ENV-YGN-2025-018</w:t>
      </w:r>
    </w:p>
    <w:p>
      <w:pPr>
        <w:pStyle w:val="BodyText"/>
      </w:pPr>
      <w:r>
        <w:t xml:space="preserve">CONFIDENTIAL</w:t>
      </w:r>
    </w:p>
    <w:p>
      <w:pPr>
        <w:pStyle w:val="BodyText"/>
      </w:pPr>
      <w:r>
        <w:rPr>
          <w:bCs/>
          <w:b/>
        </w:rPr>
        <w:t xml:space="preserve">Location:</w:t>
      </w:r>
      <w:r>
        <w:t xml:space="preserve"> </w:t>
      </w:r>
      <w:r>
        <w:t xml:space="preserve">Myanmar Yangon</w:t>
      </w:r>
    </w:p>
    <w:p>
      <w:pPr>
        <w:pStyle w:val="BodyText"/>
      </w:pPr>
      <w:r>
        <w:rPr>
          <w:bCs/>
          <w:b/>
        </w:rPr>
        <w:t xml:space="preserve">Department:</w:t>
      </w:r>
      <w:r>
        <w:t xml:space="preserve"> </w:t>
      </w:r>
      <w:r>
        <w:t xml:space="preserve">Environmental Compliance &amp; Sustainability</w:t>
      </w:r>
    </w:p>
    <w:bookmarkStart w:id="20"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Yangon Green Infrastructure Development Co., Ltd.</w:t>
            </w:r>
          </w:p>
        </w:tc>
      </w:tr>
      <w:tr>
        <w:tc>
          <w:tcPr/>
          <w:p>
            <w:pPr>
              <w:pStyle w:val="Compact"/>
              <w:jc w:val="left"/>
            </w:pPr>
            <w:r>
              <w:t xml:space="preserve">Address</w:t>
            </w:r>
          </w:p>
        </w:tc>
        <w:tc>
          <w:tcPr/>
          <w:p>
            <w:pPr>
              <w:pStyle w:val="Compact"/>
              <w:jc w:val="left"/>
            </w:pPr>
            <w:r>
              <w:t xml:space="preserve">Level 12, One Raffles Tower, No. 1 Raffles Boulevard, North Okkalapa Township, Myanmar Yangon 11181</w:t>
            </w:r>
          </w:p>
        </w:tc>
      </w:tr>
      <w:tr>
        <w:tc>
          <w:tcPr/>
          <w:p>
            <w:pPr>
              <w:pStyle w:val="Compact"/>
              <w:jc w:val="left"/>
            </w:pPr>
            <w:r>
              <w:t xml:space="preserve">Country</w:t>
            </w:r>
          </w:p>
        </w:tc>
        <w:tc>
          <w:tcPr/>
          <w:p>
            <w:pPr>
              <w:pStyle w:val="Compact"/>
              <w:jc w:val="left"/>
            </w:pPr>
            <w:r>
              <w:t xml:space="preserve">Republic of the Union of Myanmar</w:t>
            </w:r>
          </w:p>
        </w:tc>
      </w:tr>
      <w:tr>
        <w:tc>
          <w:tcPr/>
          <w:p>
            <w:pPr>
              <w:pStyle w:val="Compact"/>
              <w:jc w:val="left"/>
            </w:pPr>
            <w:r>
              <w:t xml:space="preserve">Tax Registration No.</w:t>
            </w:r>
          </w:p>
        </w:tc>
        <w:tc>
          <w:tcPr/>
          <w:p>
            <w:pPr>
              <w:pStyle w:val="Compact"/>
              <w:jc w:val="left"/>
            </w:pPr>
            <w:r>
              <w:t xml:space="preserve">MY-TRN-2019-448721</w:t>
            </w:r>
          </w:p>
        </w:tc>
      </w:tr>
      <w:tr>
        <w:tc>
          <w:tcPr/>
          <w:p>
            <w:pPr>
              <w:pStyle w:val="Compact"/>
              <w:jc w:val="left"/>
            </w:pPr>
            <w:r>
              <w:t xml:space="preserve">Contact Person</w:t>
            </w:r>
          </w:p>
        </w:tc>
        <w:tc>
          <w:tcPr/>
          <w:p>
            <w:pPr>
              <w:pStyle w:val="Compact"/>
              <w:jc w:val="left"/>
            </w:pPr>
            <w:r>
              <w:t xml:space="preserve">U Thura Aung Kyaw Min, Director of Procurement</w:t>
            </w:r>
          </w:p>
        </w:tc>
      </w:tr>
      <w:tr>
        <w:tc>
          <w:tcPr/>
          <w:p>
            <w:pPr>
              <w:pStyle w:val="Compact"/>
              <w:jc w:val="left"/>
            </w:pPr>
            <w:r>
              <w:t xml:space="preserve">Email</w:t>
            </w:r>
          </w:p>
        </w:tc>
        <w:tc>
          <w:tcPr/>
          <w:p>
            <w:pPr>
              <w:pStyle w:val="Compact"/>
              <w:jc w:val="left"/>
            </w:pPr>
            <w:r>
              <w:t xml:space="preserve">procurement@ygngreeninfra.com.mm</w:t>
            </w:r>
          </w:p>
        </w:tc>
      </w:tr>
      <w:tr>
        <w:tc>
          <w:tcPr/>
          <w:p>
            <w:pPr>
              <w:pStyle w:val="Compact"/>
              <w:jc w:val="left"/>
            </w:pPr>
            <w:r>
              <w:t xml:space="preserve">Telephone</w:t>
            </w:r>
          </w:p>
        </w:tc>
        <w:tc>
          <w:tcPr/>
          <w:p>
            <w:pPr>
              <w:pStyle w:val="Compact"/>
              <w:jc w:val="left"/>
            </w:pPr>
            <w:r>
              <w:t xml:space="preserve">+95-1-234-5678</w:t>
            </w:r>
          </w:p>
        </w:tc>
      </w:tr>
    </w:tbl>
    <w:bookmarkEnd w:id="20"/>
    <w:bookmarkStart w:id="21"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Delta Environmental Consulting &amp; Engineering Services (Pvt.) Ltd.</w:t>
            </w:r>
          </w:p>
        </w:tc>
      </w:tr>
      <w:tr>
        <w:tc>
          <w:tcPr/>
          <w:p>
            <w:pPr>
              <w:pStyle w:val="Compact"/>
              <w:jc w:val="left"/>
            </w:pPr>
            <w:r>
              <w:t xml:space="preserve">Address</w:t>
            </w:r>
          </w:p>
        </w:tc>
        <w:tc>
          <w:tcPr/>
          <w:p>
            <w:pPr>
              <w:pStyle w:val="Compact"/>
              <w:jc w:val="left"/>
            </w:pPr>
            <w:r>
              <w:t xml:space="preserve">Plot 45, Industrial Zone 3, Hlaing Township, Myanmar Yangon 11182</w:t>
            </w:r>
          </w:p>
        </w:tc>
      </w:tr>
      <w:tr>
        <w:tc>
          <w:tcPr/>
          <w:p>
            <w:pPr>
              <w:pStyle w:val="Compact"/>
              <w:jc w:val="left"/>
            </w:pPr>
            <w:r>
              <w:t xml:space="preserve">Country</w:t>
            </w:r>
          </w:p>
        </w:tc>
        <w:tc>
          <w:tcPr/>
          <w:p>
            <w:pPr>
              <w:pStyle w:val="Compact"/>
              <w:jc w:val="left"/>
            </w:pPr>
            <w:r>
              <w:t xml:space="preserve">Republic of the Union of Myanmar</w:t>
            </w:r>
          </w:p>
        </w:tc>
      </w:tr>
      <w:tr>
        <w:tc>
          <w:tcPr/>
          <w:p>
            <w:pPr>
              <w:pStyle w:val="Compact"/>
              <w:jc w:val="left"/>
            </w:pPr>
            <w:r>
              <w:t xml:space="preserve">Tax Registration No.</w:t>
            </w:r>
          </w:p>
        </w:tc>
        <w:tc>
          <w:tcPr/>
          <w:p>
            <w:pPr>
              <w:pStyle w:val="Compact"/>
              <w:jc w:val="left"/>
            </w:pPr>
            <w:r>
              <w:t xml:space="preserve">MY-TRN-2017-332190</w:t>
            </w:r>
          </w:p>
        </w:tc>
      </w:tr>
      <w:tr>
        <w:tc>
          <w:tcPr/>
          <w:p>
            <w:pPr>
              <w:pStyle w:val="Compact"/>
              <w:jc w:val="left"/>
            </w:pPr>
            <w:r>
              <w:t xml:space="preserve">Contact Person</w:t>
            </w:r>
          </w:p>
        </w:tc>
        <w:tc>
          <w:tcPr/>
          <w:p>
            <w:pPr>
              <w:pStyle w:val="Compact"/>
              <w:jc w:val="left"/>
            </w:pPr>
            <w:r>
              <w:t xml:space="preserve">Dr. Mya Mya Htwe, Lead Environmental Engineer</w:t>
            </w:r>
          </w:p>
        </w:tc>
      </w:tr>
      <w:tr>
        <w:tc>
          <w:tcPr/>
          <w:p>
            <w:pPr>
              <w:pStyle w:val="Compact"/>
              <w:jc w:val="left"/>
            </w:pPr>
            <w:r>
              <w:t xml:space="preserve">Email</w:t>
            </w:r>
          </w:p>
        </w:tc>
        <w:tc>
          <w:tcPr/>
          <w:p>
            <w:pPr>
              <w:pStyle w:val="Compact"/>
              <w:jc w:val="left"/>
            </w:pPr>
            <w:r>
              <w:t xml:space="preserve">projects@deltacomm.my</w:t>
            </w:r>
          </w:p>
        </w:tc>
      </w:tr>
      <w:tr>
        <w:tc>
          <w:tcPr/>
          <w:p>
            <w:pPr>
              <w:pStyle w:val="Compact"/>
              <w:jc w:val="left"/>
            </w:pPr>
            <w:r>
              <w:t xml:space="preserve">Telephone</w:t>
            </w:r>
          </w:p>
        </w:tc>
        <w:tc>
          <w:tcPr/>
          <w:p>
            <w:pPr>
              <w:pStyle w:val="Compact"/>
              <w:jc w:val="left"/>
            </w:pPr>
            <w:r>
              <w:t xml:space="preserve">+95-1-987-6543</w:t>
            </w:r>
          </w:p>
        </w:tc>
      </w:tr>
    </w:tbl>
    <w:bookmarkEnd w:id="21"/>
    <w:bookmarkStart w:id="22" w:name="Xf295acc3e1de01af9c2931e3414ac008807f668"/>
    <w:p>
      <w:pPr>
        <w:pStyle w:val="Heading2"/>
      </w:pPr>
      <w:r>
        <w:t xml:space="preserve">3. Scope of Work – Environmental Engineer Services</w:t>
      </w:r>
    </w:p>
    <w:p>
      <w:pPr>
        <w:pStyle w:val="FirstParagraph"/>
      </w:pPr>
      <w:r>
        <w:t xml:space="preserve">This Purchase Order is issued by Yangon Green Infrastructure Development Co., Ltd. to Delta Environmental Consulting &amp; Engineering Services (Pvt.) Ltd. for the engagement of a qualified</w:t>
      </w:r>
      <w:r>
        <w:t xml:space="preserve"> </w:t>
      </w:r>
      <w:r>
        <w:rPr>
          <w:bCs/>
          <w:b/>
        </w:rPr>
        <w:t xml:space="preserve">Environmental Engineer</w:t>
      </w:r>
      <w:r>
        <w:t xml:space="preserve"> </w:t>
      </w:r>
      <w:r>
        <w:t xml:space="preserve">and associated technical team to deliver comprehensive environmental impact assessment, monitoring, and remediation services for the proposed Yangon Coastal Industrial Corridor Project. The Environmental Engineer shall be responsible for all phases of environmental due diligence, regulatory compliance with the Myanmar Environmental Conservation Department (ECD), and ongoing ecological monitoring throughout the project lifecycle in Myanmar Yangon.</w:t>
      </w:r>
    </w:p>
    <w:bookmarkEnd w:id="22"/>
    <w:bookmarkStart w:id="23"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(MMK)</w:t>
            </w:r>
          </w:p>
        </w:tc>
        <w:tc>
          <w:tcPr/>
          <w:p>
            <w:pPr>
              <w:pStyle w:val="Compact"/>
              <w:jc w:val="left"/>
            </w:pPr>
            <w:r>
              <w:t xml:space="preserve">Total (MMK)</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Lead Environmental Engineer – Full-time on-site supervision and technical direction for the Myanmar Yangon coastal project</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12 months</w:t>
            </w:r>
          </w:p>
        </w:tc>
      </w:tr>
      <w:tr>
        <w:tc>
          <w:tcPr/>
          <w:p>
            <w:pPr>
              <w:pStyle w:val="Compact"/>
              <w:jc w:val="left"/>
            </w:pPr>
            <w:r>
              <w:t xml:space="preserve">2</w:t>
            </w:r>
          </w:p>
        </w:tc>
        <w:tc>
          <w:tcPr/>
          <w:p>
            <w:pPr>
              <w:pStyle w:val="Compact"/>
              <w:jc w:val="left"/>
            </w:pPr>
            <w:r>
              <w:t xml:space="preserve">Environmental Impact Assessment (EIA) preparation and submission to the Myanmar Environmental Conservation Department</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3 months</w:t>
            </w:r>
          </w:p>
        </w:tc>
      </w:tr>
      <w:tr>
        <w:tc>
          <w:tcPr/>
          <w:p>
            <w:pPr>
              <w:pStyle w:val="Compact"/>
              <w:jc w:val="left"/>
            </w:pPr>
            <w:r>
              <w:t xml:space="preserve">3</w:t>
            </w:r>
          </w:p>
        </w:tc>
        <w:tc>
          <w:tcPr/>
          <w:p>
            <w:pPr>
              <w:pStyle w:val="Compact"/>
              <w:jc w:val="left"/>
            </w:pPr>
            <w:r>
              <w:t xml:space="preserve">Air quality monitoring and baseline data collection across 12 monitoring stations in Myanmar Yangon</w:t>
            </w:r>
          </w:p>
        </w:tc>
        <w:tc>
          <w:tcPr/>
          <w:p>
            <w:pPr>
              <w:pStyle w:val="Compact"/>
              <w:jc w:val="left"/>
            </w:pPr>
            <w:r>
              <w:t xml:space="preserve">12</w:t>
            </w:r>
          </w:p>
        </w:tc>
        <w:tc>
          <w:tcPr/>
          <w:p>
            <w:pPr>
              <w:pStyle w:val="Compact"/>
              <w:jc w:val="left"/>
            </w:pPr>
            <w:r>
              <w:t xml:space="preserve">Stations</w:t>
            </w:r>
          </w:p>
        </w:tc>
        <w:tc>
          <w:tcPr/>
          <w:p>
            <w:pPr>
              <w:pStyle w:val="Compact"/>
              <w:jc w:val="left"/>
            </w:pPr>
            <w:r>
              <w:t xml:space="preserve">3,200,000</w:t>
            </w:r>
          </w:p>
        </w:tc>
        <w:tc>
          <w:tcPr/>
          <w:p>
            <w:pPr>
              <w:pStyle w:val="Compact"/>
              <w:jc w:val="left"/>
            </w:pPr>
            <w:r>
              <w:t xml:space="preserve">38,400,000</w:t>
            </w:r>
          </w:p>
        </w:tc>
        <w:tc>
          <w:tcPr/>
          <w:p>
            <w:pPr>
              <w:pStyle w:val="Compact"/>
              <w:jc w:val="left"/>
            </w:pPr>
            <w:r>
              <w:t xml:space="preserve">6 months</w:t>
            </w:r>
          </w:p>
        </w:tc>
      </w:tr>
      <w:tr>
        <w:tc>
          <w:tcPr/>
          <w:p>
            <w:pPr>
              <w:pStyle w:val="Compact"/>
              <w:jc w:val="left"/>
            </w:pPr>
            <w:r>
              <w:t xml:space="preserve">4</w:t>
            </w:r>
          </w:p>
        </w:tc>
        <w:tc>
          <w:tcPr/>
          <w:p>
            <w:pPr>
              <w:pStyle w:val="Compact"/>
              <w:jc w:val="left"/>
            </w:pPr>
            <w:r>
              <w:t xml:space="preserve">Water quality testing and wastewater treatment system design for industrial effluent discharge compliance</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62,000,000</w:t>
            </w:r>
          </w:p>
        </w:tc>
        <w:tc>
          <w:tcPr/>
          <w:p>
            <w:pPr>
              <w:pStyle w:val="Compact"/>
              <w:jc w:val="left"/>
            </w:pPr>
            <w:r>
              <w:t xml:space="preserve">62,000,000</w:t>
            </w:r>
          </w:p>
        </w:tc>
        <w:tc>
          <w:tcPr/>
          <w:p>
            <w:pPr>
              <w:pStyle w:val="Compact"/>
              <w:jc w:val="left"/>
            </w:pPr>
            <w:r>
              <w:t xml:space="preserve">4 months</w:t>
            </w:r>
          </w:p>
        </w:tc>
      </w:tr>
      <w:tr>
        <w:tc>
          <w:tcPr/>
          <w:p>
            <w:pPr>
              <w:pStyle w:val="Compact"/>
              <w:jc w:val="left"/>
            </w:pPr>
            <w:r>
              <w:t xml:space="preserve">5</w:t>
            </w:r>
          </w:p>
        </w:tc>
        <w:tc>
          <w:tcPr/>
          <w:p>
            <w:pPr>
              <w:pStyle w:val="Compact"/>
              <w:jc w:val="left"/>
            </w:pPr>
            <w:r>
              <w:t xml:space="preserve">Soil contamination assessment and remediation plan for previously industrialized land parcels in Hlaing Township, Myanmar Yangon</w:t>
            </w:r>
          </w:p>
        </w:tc>
        <w:tc>
          <w:tcPr/>
          <w:p>
            <w:pPr>
              <w:pStyle w:val="Compact"/>
              <w:jc w:val="left"/>
            </w:pPr>
            <w:r>
              <w:t xml:space="preserve">3</w:t>
            </w:r>
          </w:p>
        </w:tc>
        <w:tc>
          <w:tcPr/>
          <w:p>
            <w:pPr>
              <w:pStyle w:val="Compact"/>
              <w:jc w:val="left"/>
            </w:pPr>
            <w:r>
              <w:t xml:space="preserve">Parcels</w:t>
            </w:r>
          </w:p>
        </w:tc>
        <w:tc>
          <w:tcPr/>
          <w:p>
            <w:pPr>
              <w:pStyle w:val="Compact"/>
              <w:jc w:val="left"/>
            </w:pPr>
            <w:r>
              <w:t xml:space="preserve">18,500,000</w:t>
            </w:r>
          </w:p>
        </w:tc>
        <w:tc>
          <w:tcPr/>
          <w:p>
            <w:pPr>
              <w:pStyle w:val="Compact"/>
              <w:jc w:val="left"/>
            </w:pPr>
            <w:r>
              <w:t xml:space="preserve">55,500,000</w:t>
            </w:r>
          </w:p>
        </w:tc>
        <w:tc>
          <w:tcPr/>
          <w:p>
            <w:pPr>
              <w:pStyle w:val="Compact"/>
              <w:jc w:val="left"/>
            </w:pPr>
            <w:r>
              <w:t xml:space="preserve">5 months</w:t>
            </w:r>
          </w:p>
        </w:tc>
      </w:tr>
      <w:tr>
        <w:tc>
          <w:tcPr/>
          <w:p>
            <w:pPr>
              <w:pStyle w:val="Compact"/>
              <w:jc w:val="left"/>
            </w:pPr>
            <w:r>
              <w:t xml:space="preserve">6</w:t>
            </w:r>
          </w:p>
        </w:tc>
        <w:tc>
          <w:tcPr/>
          <w:p>
            <w:pPr>
              <w:pStyle w:val="Compact"/>
              <w:jc w:val="left"/>
            </w:pPr>
            <w:r>
              <w:t xml:space="preserve">Environmental Management Plan (EMP) development, stakeholder consultation, and community engagement program</w:t>
            </w:r>
          </w:p>
        </w:tc>
        <w:tc>
          <w:tcPr/>
          <w:p>
            <w:pPr>
              <w:pStyle w:val="Compact"/>
              <w:jc w:val="left"/>
            </w:pPr>
            <w:r>
              <w:t xml:space="preserve">1</w:t>
            </w:r>
          </w:p>
        </w:tc>
        <w:tc>
          <w:tcPr/>
          <w:p>
            <w:pPr>
              <w:pStyle w:val="Compact"/>
              <w:jc w:val="left"/>
            </w:pPr>
            <w:r>
              <w:t xml:space="preserve">Deliverable</w:t>
            </w:r>
          </w:p>
        </w:tc>
        <w:tc>
          <w:tcPr/>
          <w:p>
            <w:pPr>
              <w:pStyle w:val="Compact"/>
              <w:jc w:val="left"/>
            </w:pPr>
            <w:r>
              <w:t xml:space="preserve">28,000,000</w:t>
            </w:r>
          </w:p>
        </w:tc>
        <w:tc>
          <w:tcPr/>
          <w:p>
            <w:pPr>
              <w:pStyle w:val="Compact"/>
              <w:jc w:val="left"/>
            </w:pPr>
            <w:r>
              <w:t xml:space="preserve">28,000,000</w:t>
            </w:r>
          </w:p>
        </w:tc>
        <w:tc>
          <w:tcPr/>
          <w:p>
            <w:pPr>
              <w:pStyle w:val="Compact"/>
              <w:jc w:val="left"/>
            </w:pPr>
            <w:r>
              <w:t xml:space="preserve">3 months</w:t>
            </w:r>
          </w:p>
        </w:tc>
      </w:tr>
      <w:tr>
        <w:tc>
          <w:tcPr/>
          <w:p>
            <w:pPr>
              <w:pStyle w:val="Compact"/>
              <w:jc w:val="left"/>
            </w:pPr>
            <w:r>
              <w:t xml:space="preserve">7</w:t>
            </w:r>
          </w:p>
        </w:tc>
        <w:tc>
          <w:tcPr/>
          <w:p>
            <w:pPr>
              <w:pStyle w:val="Compact"/>
              <w:jc w:val="left"/>
            </w:pPr>
            <w:r>
              <w:t xml:space="preserve">Quarterly environmental compliance reporting and regulatory liaison with Myanmar Yangon municipal authorities</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5,500,000</w:t>
            </w:r>
          </w:p>
        </w:tc>
        <w:tc>
          <w:tcPr/>
          <w:p>
            <w:pPr>
              <w:pStyle w:val="Compact"/>
              <w:jc w:val="left"/>
            </w:pPr>
            <w:r>
              <w:t xml:space="preserve">22,000,000</w:t>
            </w:r>
          </w:p>
        </w:tc>
        <w:tc>
          <w:tcPr/>
          <w:p>
            <w:pPr>
              <w:pStyle w:val="Compact"/>
              <w:jc w:val="left"/>
            </w:pPr>
            <w:r>
              <w:t xml:space="preserve">12 months</w:t>
            </w:r>
          </w:p>
        </w:tc>
      </w:tr>
      <w:tr>
        <w:tc>
          <w:tcPr/>
          <w:p>
            <w:pPr>
              <w:pStyle w:val="Compact"/>
              <w:jc w:val="left"/>
            </w:pPr>
            <w:r>
              <w:t xml:space="preserve">8</w:t>
            </w:r>
          </w:p>
        </w:tc>
        <w:tc>
          <w:tcPr/>
          <w:p>
            <w:pPr>
              <w:pStyle w:val="Compact"/>
              <w:jc w:val="left"/>
            </w:pPr>
            <w:r>
              <w:t xml:space="preserve">Specialized laboratory analysis (heavy metals, VOCs, PCBs) – 200 samples</w:t>
            </w:r>
          </w:p>
        </w:tc>
        <w:tc>
          <w:tcPr/>
          <w:p>
            <w:pPr>
              <w:pStyle w:val="Compact"/>
              <w:jc w:val="left"/>
            </w:pPr>
            <w:r>
              <w:t xml:space="preserve">200</w:t>
            </w:r>
          </w:p>
        </w:tc>
        <w:tc>
          <w:tcPr/>
          <w:p>
            <w:pPr>
              <w:pStyle w:val="Compact"/>
              <w:jc w:val="left"/>
            </w:pPr>
            <w:r>
              <w:t xml:space="preserve">Samples</w:t>
            </w:r>
          </w:p>
        </w:tc>
        <w:tc>
          <w:tcPr/>
          <w:p>
            <w:pPr>
              <w:pStyle w:val="Compact"/>
              <w:jc w:val="left"/>
            </w:pPr>
            <w:r>
              <w:t xml:space="preserve">450,000</w:t>
            </w:r>
          </w:p>
        </w:tc>
        <w:tc>
          <w:tcPr/>
          <w:p>
            <w:pPr>
              <w:pStyle w:val="Compact"/>
              <w:jc w:val="left"/>
            </w:pPr>
            <w:r>
              <w:t xml:space="preserve">90,000,000</w:t>
            </w:r>
          </w:p>
        </w:tc>
        <w:tc>
          <w:tcPr/>
          <w:p>
            <w:pPr>
              <w:pStyle w:val="Compact"/>
              <w:jc w:val="left"/>
            </w:pPr>
            <w:r>
              <w:t xml:space="preserve">Ongoing</w:t>
            </w:r>
          </w:p>
        </w:tc>
      </w:tr>
      <w:tr>
        <w:tc>
          <w:tcPr/>
          <w:p>
            <w:pPr>
              <w:pStyle w:val="Compact"/>
              <w:jc w:val="left"/>
            </w:pPr>
            <w:r>
              <w:t xml:space="preserve">9</w:t>
            </w:r>
          </w:p>
        </w:tc>
        <w:tc>
          <w:tcPr/>
          <w:p>
            <w:pPr>
              <w:pStyle w:val="Compact"/>
              <w:jc w:val="left"/>
            </w:pPr>
            <w:r>
              <w:t xml:space="preserve">Environmental Engineer technical support team (2 junior engineers, 1 field technician) – on-site presence</w:t>
            </w:r>
          </w:p>
        </w:tc>
        <w:tc>
          <w:tcPr/>
          <w:p>
            <w:pPr>
              <w:pStyle w:val="Compact"/>
              <w:jc w:val="left"/>
            </w:pPr>
            <w:r>
              <w:t xml:space="preserve">3</w:t>
            </w:r>
          </w:p>
        </w:tc>
        <w:tc>
          <w:tcPr/>
          <w:p>
            <w:pPr>
              <w:pStyle w:val="Compact"/>
              <w:jc w:val="left"/>
            </w:pPr>
            <w:r>
              <w:t xml:space="preserve">Professionals</w:t>
            </w:r>
          </w:p>
        </w:tc>
        <w:tc>
          <w:tcPr/>
          <w:p>
            <w:pPr>
              <w:pStyle w:val="Compact"/>
              <w:jc w:val="left"/>
            </w:pPr>
            <w:r>
              <w:t xml:space="preserve">3,800,000</w:t>
            </w:r>
          </w:p>
        </w:tc>
        <w:tc>
          <w:tcPr/>
          <w:p>
            <w:pPr>
              <w:pStyle w:val="Compact"/>
              <w:jc w:val="left"/>
            </w:pPr>
            <w:r>
              <w:t xml:space="preserve">11,400,000</w:t>
            </w:r>
          </w:p>
        </w:tc>
        <w:tc>
          <w:tcPr/>
          <w:p>
            <w:pPr>
              <w:pStyle w:val="Compact"/>
              <w:jc w:val="left"/>
            </w:pPr>
            <w:r>
              <w:t xml:space="preserve">12 months</w:t>
            </w:r>
          </w:p>
        </w:tc>
      </w:tr>
      <w:tr>
        <w:tc>
          <w:tcPr/>
          <w:p>
            <w:pPr>
              <w:pStyle w:val="Compact"/>
              <w:jc w:val="left"/>
            </w:pPr>
            <w:r>
              <w:t xml:space="preserve">10</w:t>
            </w:r>
          </w:p>
        </w:tc>
        <w:tc>
          <w:tcPr/>
          <w:p>
            <w:pPr>
              <w:pStyle w:val="Compact"/>
              <w:jc w:val="left"/>
            </w:pPr>
            <w:r>
              <w:t xml:space="preserve">Emergency environmental response plan and 24/7 incident management protocol for Myanmar Yangon operations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15,000,000</w:t>
            </w:r>
          </w:p>
        </w:tc>
        <w:tc>
          <w:tcPr/>
          <w:p>
            <w:pPr>
              <w:pStyle w:val="Compact"/>
              <w:jc w:val="left"/>
            </w:pPr>
            <w:r>
              <w:t xml:space="preserve">15,000,000</w:t>
            </w:r>
          </w:p>
        </w:tc>
        <w:tc>
          <w:tcPr/>
          <w:p>
            <w:pPr>
              <w:pStyle w:val="Compact"/>
              <w:jc w:val="left"/>
            </w:pPr>
            <w:r>
              <w:t xml:space="preserve">12 months</w:t>
            </w:r>
          </w:p>
        </w:tc>
      </w:tr>
      <w:tr>
        <w:tc>
          <w:tcPr>
            <w:gridSpan w:val="5"/>
          </w:tcPr>
          <w:p>
            <w:pPr>
              <w:pStyle w:val="Compact"/>
              <w:jc w:val="right"/>
            </w:pPr>
            <w:r>
              <w:t xml:space="preserve">SUBTOTAL</w:t>
            </w:r>
          </w:p>
        </w:tc>
        <w:tc>
          <w:tcPr/>
          <w:p>
            <w:pPr>
              <w:pStyle w:val="Compact"/>
              <w:jc w:val="left"/>
            </w:pPr>
            <w:r>
              <w:t xml:space="preserve">375,800,000</w:t>
            </w:r>
          </w:p>
        </w:tc>
        <w:tc>
          <w:tcPr/>
          <w:p>
            <w:pPr>
              <w:pStyle w:val="Compact"/>
            </w:pPr>
          </w:p>
        </w:tc>
      </w:tr>
      <w:tr>
        <w:tc>
          <w:tcPr>
            <w:gridSpan w:val="5"/>
          </w:tcPr>
          <w:p>
            <w:pPr>
              <w:pStyle w:val="Compact"/>
              <w:jc w:val="right"/>
            </w:pPr>
            <w:r>
              <w:t xml:space="preserve">VAT (5%)</w:t>
            </w:r>
          </w:p>
        </w:tc>
        <w:tc>
          <w:tcPr/>
          <w:p>
            <w:pPr>
              <w:pStyle w:val="Compact"/>
              <w:jc w:val="left"/>
            </w:pPr>
            <w:r>
              <w:t xml:space="preserve">18,790,000</w:t>
            </w:r>
          </w:p>
        </w:tc>
        <w:tc>
          <w:tcPr/>
          <w:p>
            <w:pPr>
              <w:pStyle w:val="Compact"/>
            </w:pPr>
          </w:p>
        </w:tc>
      </w:tr>
      <w:tr>
        <w:tc>
          <w:tcPr>
            <w:gridSpan w:val="5"/>
          </w:tcPr>
          <w:p>
            <w:pPr>
              <w:pStyle w:val="Compact"/>
              <w:jc w:val="right"/>
            </w:pPr>
            <w:r>
              <w:t xml:space="preserve">GRAND TOTAL (MMK)</w:t>
            </w:r>
          </w:p>
        </w:tc>
        <w:tc>
          <w:tcPr/>
          <w:p>
            <w:pPr>
              <w:pStyle w:val="Compact"/>
              <w:jc w:val="left"/>
            </w:pPr>
            <w:r>
              <w:t xml:space="preserve">394,590,000</w:t>
            </w:r>
          </w:p>
        </w:tc>
        <w:tc>
          <w:tcPr/>
          <w:p>
            <w:pPr>
              <w:pStyle w:val="Compact"/>
            </w:pPr>
          </w:p>
        </w:tc>
      </w:tr>
    </w:tbl>
    <w:p>
      <w:pPr>
        <w:pStyle w:val="BodyText"/>
      </w:pPr>
      <w:r>
        <w:t xml:space="preserve">All prices are quoted in Myanmar Kyat (MMK) and are inclusive of all applicable local taxes unless otherwise stated. Exchange rate reference: 1 USD ≈ 5,100 MMK as of the date of this Purchase Order.</w:t>
      </w:r>
    </w:p>
    <w:bookmarkEnd w:id="23"/>
    <w:bookmarkStart w:id="24" w:name="terms-and-conditions"/>
    <w:p>
      <w:pPr>
        <w:pStyle w:val="Heading2"/>
      </w:pPr>
      <w:r>
        <w:t xml:space="preserve">5. 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Supplier within ten (10) business days of the date of issue. Failure to respond within this period shall constitute automatic acceptance.</w:t>
      </w:r>
    </w:p>
    <w:p>
      <w:pPr>
        <w:numPr>
          <w:ilvl w:val="0"/>
          <w:numId w:val="1001"/>
        </w:numPr>
        <w:pStyle w:val="Compact"/>
      </w:pPr>
      <w:r>
        <w:rPr>
          <w:bCs/>
          <w:b/>
        </w:rPr>
        <w:t xml:space="preserve">Performance:</w:t>
      </w:r>
      <w:r>
        <w:t xml:space="preserve"> </w:t>
      </w:r>
      <w:r>
        <w:t xml:space="preserve">The Environmental Engineer and all supporting personnel shall commence work no later than 1 July 2025 at the designated project site in Myanmar Yangon. All deliverables must comply with the standards set forth by the Myanmar Environmental Conservation Department and applicable international environmental guidelines.</w:t>
      </w:r>
    </w:p>
    <w:p>
      <w:pPr>
        <w:numPr>
          <w:ilvl w:val="0"/>
          <w:numId w:val="1001"/>
        </w:numPr>
        <w:pStyle w:val="Compact"/>
      </w:pPr>
      <w:r>
        <w:rPr>
          <w:bCs/>
          <w:b/>
        </w:rPr>
        <w:t xml:space="preserve">Payment Terms:</w:t>
      </w:r>
      <w:r>
        <w:t xml:space="preserve"> </w:t>
      </w:r>
      <w:r>
        <w:t xml:space="preserve">Payment shall be made in three (3) equal installments: 30% upon execution of this Purchase Order, 40% upon completion of the EIA submission and approval, and 30% upon final project acceptance and handover of all documentation. Payment shall be processed via bank transfer to the Supplier's designated account within Myanmar Yangon.</w:t>
      </w:r>
    </w:p>
    <w:p>
      <w:pPr>
        <w:numPr>
          <w:ilvl w:val="0"/>
          <w:numId w:val="1001"/>
        </w:numPr>
        <w:pStyle w:val="Compact"/>
      </w:pPr>
      <w:r>
        <w:rPr>
          <w:bCs/>
          <w:b/>
        </w:rPr>
        <w:t xml:space="preserve">Quality Assurance:</w:t>
      </w:r>
      <w:r>
        <w:t xml:space="preserve"> </w:t>
      </w:r>
      <w:r>
        <w:t xml:space="preserve">The Environmental Engineer shall maintain a minimum of 15 years of professional experience in environmental engineering, hold a valid Myanmar Professional Engineers Council (MPEC) license, and possess a Master's degree or higher in Environmental Engineering or a closely related discipline.</w:t>
      </w:r>
    </w:p>
    <w:p>
      <w:pPr>
        <w:numPr>
          <w:ilvl w:val="0"/>
          <w:numId w:val="1001"/>
        </w:numPr>
        <w:pStyle w:val="Compact"/>
      </w:pPr>
      <w:r>
        <w:rPr>
          <w:bCs/>
          <w:b/>
        </w:rPr>
        <w:t xml:space="preserve">Compliance:</w:t>
      </w:r>
      <w:r>
        <w:t xml:space="preserve"> </w:t>
      </w:r>
      <w:r>
        <w:t xml:space="preserve">All work performed under this Purchase Order must adhere to the Environmental Conservation Law of Myanmar (2012), the Environmental Conservation Rules (2013), and all applicable Myanmar Yangon municipal by-laws governing industrial and environmental operations.</w:t>
      </w:r>
    </w:p>
    <w:p>
      <w:pPr>
        <w:numPr>
          <w:ilvl w:val="0"/>
          <w:numId w:val="1001"/>
        </w:numPr>
        <w:pStyle w:val="Compact"/>
      </w:pPr>
      <w:r>
        <w:rPr>
          <w:bCs/>
          <w:b/>
        </w:rPr>
        <w:t xml:space="preserve">Confidentiality:</w:t>
      </w:r>
      <w:r>
        <w:t xml:space="preserve"> </w:t>
      </w:r>
      <w:r>
        <w:t xml:space="preserve">All data, reports, and findings generated under this Purchase Order shall remain the exclusive property of the Buyer. The Environmental Engineer and all team members shall sign individual non-disclosure agreements prior to commencing fieldwork in Myanmar Yangon.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be compensated for all work completed and documented up to the date of termination.</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Myanmar Yangon, and failing resolution within sixty (60) days, shall be submitted to arbitration under the rules of the Myanmar Arbitration Centre.</w:t>
      </w:r>
    </w:p>
    <w:p>
      <w:pPr>
        <w:numPr>
          <w:ilvl w:val="0"/>
          <w:numId w:val="1001"/>
        </w:numPr>
        <w:pStyle w:val="Compact"/>
      </w:pPr>
      <w:r>
        <w:rPr>
          <w:bCs/>
          <w:b/>
        </w:rPr>
        <w:t xml:space="preserve">Force Majeure:</w:t>
      </w:r>
      <w:r>
        <w:t xml:space="preserve"> </w:t>
      </w:r>
      <w:r>
        <w:t xml:space="preserve">Neither party shall be liable for delays caused by natural disasters, government-imposed restrictions, or other events beyond reasonable control, provided written notice is given within five (5) business days of the occurrence.</w:t>
      </w:r>
    </w:p>
    <w:bookmarkEnd w:id="24"/>
    <w:bookmarkStart w:id="25" w:name="delivery-and-service-location"/>
    <w:p>
      <w:pPr>
        <w:pStyle w:val="Heading2"/>
      </w:pPr>
      <w:r>
        <w:t xml:space="preserve">6. Delivery and Service Location</w:t>
      </w:r>
    </w:p>
    <w:p>
      <w:pPr>
        <w:pStyle w:val="FirstParagraph"/>
      </w:pPr>
      <w:r>
        <w:t xml:space="preserve">All services under this Purchase Order shall be performed at the project site located in Myanmar Yangon, specifically at the Yangon Coastal Industrial Corridor development zone, Hlaing Township, and at the Supplier's laboratory facilities in Myanmar Yangon. All physical deliverables, including printed reports, data logs, and sample containers, shall be delivered to the Buyer's office at One Raffles Tower, North Okkalapa Township, Myanmar Yangon.</w:t>
      </w:r>
    </w:p>
    <w:bookmarkEnd w:id="25"/>
    <w:bookmarkStart w:id="26" w:name="authorization-and-signatures"/>
    <w:p>
      <w:pPr>
        <w:pStyle w:val="Heading2"/>
      </w:pPr>
      <w:r>
        <w:t xml:space="preserve">7. Authorization and Signatures</w:t>
      </w:r>
    </w:p>
    <w:p>
      <w:pPr>
        <w:pStyle w:val="FirstParagraph"/>
      </w:pPr>
      <w:r>
        <w:t xml:space="preserve">This Purchase Order is authorized and issued by the undersigned on behalf of Yangon Green Infrastructure Development Co., Ltd. The Supplier acknowledges receipt and acceptance of this Purchase Order by signing below.</w:t>
      </w:r>
    </w:p>
    <w:p>
      <w:pPr>
        <w:pStyle w:val="BodyText"/>
      </w:pPr>
      <w:r>
        <w:rPr>
          <w:bCs/>
          <w:b/>
        </w:rPr>
        <w:t xml:space="preserve">For and on behalf of the Buyer:</w:t>
      </w:r>
    </w:p>
    <w:p>
      <w:pPr>
        <w:pStyle w:val="BodyText"/>
      </w:pPr>
      <w:r>
        <w:t xml:space="preserve">Yangon Green Infrastructure Development Co., Ltd.</w:t>
      </w:r>
    </w:p>
    <w:p>
      <w:pPr>
        <w:pStyle w:val="BodyText"/>
      </w:pPr>
      <w:r>
        <w:br/>
      </w:r>
      <w:r>
        <w:br/>
      </w:r>
    </w:p>
    <w:p>
      <w:pPr>
        <w:pStyle w:val="BodyText"/>
      </w:pPr>
      <w:r>
        <w:t xml:space="preserve">Signature: ___________________________</w:t>
      </w:r>
    </w:p>
    <w:p>
      <w:pPr>
        <w:pStyle w:val="BodyText"/>
      </w:pPr>
      <w:r>
        <w:t xml:space="preserve">Name: U Thura Aung Kyaw Min</w:t>
      </w:r>
    </w:p>
    <w:p>
      <w:pPr>
        <w:pStyle w:val="BodyText"/>
      </w:pPr>
      <w:r>
        <w:t xml:space="preserve">Title: Director of Procurement</w:t>
      </w:r>
    </w:p>
    <w:p>
      <w:pPr>
        <w:pStyle w:val="BodyText"/>
      </w:pPr>
      <w:r>
        <w:t xml:space="preserve">Date: ___________________________</w:t>
      </w:r>
    </w:p>
    <w:p>
      <w:pPr>
        <w:pStyle w:val="BodyText"/>
      </w:pPr>
      <w:r>
        <w:t xml:space="preserve">Company Seal:</w:t>
      </w:r>
    </w:p>
    <w:p>
      <w:pPr>
        <w:pStyle w:val="BodyText"/>
      </w:pPr>
      <w:r>
        <w:rPr>
          <w:bCs/>
          <w:b/>
        </w:rPr>
        <w:t xml:space="preserve">For and on behalf of the Supplier:</w:t>
      </w:r>
    </w:p>
    <w:p>
      <w:pPr>
        <w:pStyle w:val="BodyText"/>
      </w:pPr>
      <w:r>
        <w:t xml:space="preserve">Delta Environmental Consulting &amp; Engineering Services (Pvt.) Ltd.</w:t>
      </w:r>
    </w:p>
    <w:p>
      <w:pPr>
        <w:pStyle w:val="BodyText"/>
      </w:pPr>
      <w:r>
        <w:br/>
      </w:r>
      <w:r>
        <w:br/>
      </w:r>
    </w:p>
    <w:p>
      <w:pPr>
        <w:pStyle w:val="BodyText"/>
      </w:pPr>
      <w:r>
        <w:t xml:space="preserve">Signature: ___________________________</w:t>
      </w:r>
    </w:p>
    <w:p>
      <w:pPr>
        <w:pStyle w:val="BodyText"/>
      </w:pPr>
      <w:r>
        <w:t xml:space="preserve">Name: Dr. Mya Mya Htwe</w:t>
      </w:r>
    </w:p>
    <w:p>
      <w:pPr>
        <w:pStyle w:val="BodyText"/>
      </w:pPr>
      <w:r>
        <w:t xml:space="preserve">Title: Lead Environmental Engineer / Managing Director</w:t>
      </w:r>
    </w:p>
    <w:p>
      <w:pPr>
        <w:pStyle w:val="BodyText"/>
      </w:pPr>
      <w:r>
        <w:t xml:space="preserve">Date: ___________________________</w:t>
      </w:r>
    </w:p>
    <w:p>
      <w:pPr>
        <w:pStyle w:val="BodyText"/>
      </w:pPr>
      <w:r>
        <w:t xml:space="preserve">Company Seal:</w:t>
      </w:r>
    </w:p>
    <w:p>
      <w:pPr>
        <w:pStyle w:val="BodyText"/>
      </w:pPr>
      <w:r>
        <w:t xml:space="preserve">This document constitutes a formal Purchase Order and is legally binding upon acceptance. This Purchase Order was prepared for use in Myanmar Yangon and is governed by the laws of the Republic of the Union of Myanmar. All references to the Environmental Engineer in this document pertain to the qualified professional and technical team engaged under the terms specified herein. Document reference: PO-MY-2025-00472 | Page 1 of 1 | Issued in Myanmar Yangon, 15 June 2025.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Myanmar Yangon</dc:title>
  <dc:creator/>
  <dc:language>en</dc:language>
  <cp:keywords/>
  <dcterms:created xsi:type="dcterms:W3CDTF">2026-10-10T02:09:57Z</dcterms:created>
  <dcterms:modified xsi:type="dcterms:W3CDTF">2026-10-10T02:09:57Z</dcterms:modified>
</cp:coreProperties>
</file>

<file path=docProps/custom.xml><?xml version="1.0" encoding="utf-8"?>
<Properties xmlns="http://schemas.openxmlformats.org/officeDocument/2006/custom-properties" xmlns:vt="http://schemas.openxmlformats.org/officeDocument/2006/docPropsVTypes"/>
</file>