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CAN-TO-2025-FA-0047</w:t>
      </w:r>
    </w:p>
    <w:p>
      <w:pPr>
        <w:pStyle w:val="BodyText"/>
      </w:pPr>
      <w:r>
        <w:t xml:space="preserve">Issued for the engagement of a</w:t>
      </w:r>
      <w:r>
        <w:t xml:space="preserve"> </w:t>
      </w:r>
      <w:r>
        <w:t xml:space="preserve">Financial Analyst</w:t>
      </w:r>
      <w:r>
        <w:t xml:space="preserve"> </w:t>
      </w:r>
      <w:r>
        <w:t xml:space="preserve">in</w:t>
      </w:r>
      <w:r>
        <w:t xml:space="preserve"> </w:t>
      </w:r>
      <w:r>
        <w:t xml:space="preserve">Canada Toronto</w:t>
      </w:r>
    </w:p>
    <w:bookmarkEnd w:id="20"/>
    <w:bookmarkStart w:id="23" w:name="purchase-order-details"/>
    <w:p>
      <w:pPr>
        <w:pStyle w:val="Heading2"/>
      </w:pPr>
      <w:r>
        <w:t xml:space="preserve">1. Purchase Order Details</w:t>
      </w:r>
    </w:p>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Meridian Capital Advisory Group Inc.</w:t>
      </w:r>
    </w:p>
    <w:p>
      <w:pPr>
        <w:pStyle w:val="BodyText"/>
      </w:pPr>
      <w:r>
        <w:rPr>
          <w:bCs/>
          <w:b/>
        </w:rPr>
        <w:t xml:space="preserve">Department:</w:t>
      </w:r>
      <w:r>
        <w:t xml:space="preserve"> </w:t>
      </w:r>
      <w:r>
        <w:t xml:space="preserve">Corporate Finance &amp; Strategy</w:t>
      </w:r>
    </w:p>
    <w:p>
      <w:pPr>
        <w:pStyle w:val="BodyText"/>
      </w:pPr>
      <w:r>
        <w:rPr>
          <w:bCs/>
          <w:b/>
        </w:rPr>
        <w:t xml:space="preserve">Address:</w:t>
      </w:r>
      <w:r>
        <w:t xml:space="preserve"> </w:t>
      </w:r>
      <w:r>
        <w:t xml:space="preserve">250 Bloor Street West, Suite 1400, Canada Toronto, ON M5S 1W2</w:t>
      </w:r>
    </w:p>
    <w:p>
      <w:pPr>
        <w:pStyle w:val="BodyText"/>
      </w:pPr>
      <w:r>
        <w:rPr>
          <w:bCs/>
          <w:b/>
        </w:rPr>
        <w:t xml:space="preserve">Contact:</w:t>
      </w:r>
      <w:r>
        <w:t xml:space="preserve"> </w:t>
      </w:r>
      <w:r>
        <w:t xml:space="preserve">Sarah Whitfield, Director of Procurement</w:t>
      </w:r>
    </w:p>
    <w:p>
      <w:pPr>
        <w:pStyle w:val="BodyText"/>
      </w:pPr>
      <w:r>
        <w:rPr>
          <w:bCs/>
          <w:b/>
        </w:rPr>
        <w:t xml:space="preserve">Email:</w:t>
      </w:r>
      <w:r>
        <w:t xml:space="preserve"> </w:t>
      </w:r>
      <w:r>
        <w:t xml:space="preserve">s.whitfield@meridiancapital.ca</w:t>
      </w:r>
    </w:p>
    <w:p>
      <w:pPr>
        <w:pStyle w:val="BodyText"/>
      </w:pPr>
      <w:r>
        <w:rPr>
          <w:bCs/>
          <w:b/>
        </w:rPr>
        <w:t xml:space="preserve">Phone:</w:t>
      </w:r>
      <w:r>
        <w:t xml:space="preserve"> </w:t>
      </w:r>
      <w:r>
        <w:t xml:space="preserve">+1 (416) 555-0192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Northbridge Talent Solutions Ltd.</w:t>
      </w:r>
    </w:p>
    <w:p>
      <w:pPr>
        <w:pStyle w:val="BodyText"/>
      </w:pPr>
      <w:r>
        <w:rPr>
          <w:bCs/>
          <w:b/>
        </w:rPr>
        <w:t xml:space="preserve">Address:</w:t>
      </w:r>
      <w:r>
        <w:t xml:space="preserve"> </w:t>
      </w:r>
      <w:r>
        <w:t xml:space="preserve">100 King Street West, Floor 22, Canada Toronto, ON M5X 1A9</w:t>
      </w:r>
    </w:p>
    <w:p>
      <w:pPr>
        <w:pStyle w:val="BodyText"/>
      </w:pPr>
      <w:r>
        <w:rPr>
          <w:bCs/>
          <w:b/>
        </w:rPr>
        <w:t xml:space="preserve">Contact:</w:t>
      </w:r>
      <w:r>
        <w:t xml:space="preserve"> </w:t>
      </w:r>
      <w:r>
        <w:t xml:space="preserve">David Chen, Account Manager</w:t>
      </w:r>
    </w:p>
    <w:p>
      <w:pPr>
        <w:pStyle w:val="BodyText"/>
      </w:pPr>
      <w:r>
        <w:rPr>
          <w:bCs/>
          <w:b/>
        </w:rPr>
        <w:t xml:space="preserve">Email:</w:t>
      </w:r>
      <w:r>
        <w:t xml:space="preserve"> </w:t>
      </w:r>
      <w:r>
        <w:t xml:space="preserve">d.chen@northbridgetalent.ca</w:t>
      </w:r>
    </w:p>
    <w:p>
      <w:pPr>
        <w:pStyle w:val="BodyText"/>
      </w:pPr>
      <w:r>
        <w:rPr>
          <w:bCs/>
          <w:b/>
        </w:rPr>
        <w:t xml:space="preserve">Phone:</w:t>
      </w:r>
      <w:r>
        <w:t xml:space="preserve"> </w:t>
      </w:r>
      <w:r>
        <w:t xml:space="preserve">+1 (416) 555-0347</w:t>
      </w:r>
    </w:p>
    <w:p>
      <w:pPr>
        <w:pStyle w:val="BodyText"/>
      </w:pPr>
      <w:r>
        <w:rPr>
          <w:bCs/>
          <w:b/>
        </w:rPr>
        <w:t xml:space="preserve">Business No.:</w:t>
      </w:r>
      <w:r>
        <w:t xml:space="preserve"> </w:t>
      </w:r>
      <w:r>
        <w:t xml:space="preserve">8842-1156-QN0001</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Date</w:t>
            </w:r>
          </w:p>
        </w:tc>
        <w:tc>
          <w:tcPr/>
          <w:p>
            <w:pPr>
              <w:pStyle w:val="Compact"/>
              <w:jc w:val="left"/>
            </w:pPr>
            <w:r>
              <w:t xml:space="preserve">Required Start Date</w:t>
            </w:r>
          </w:p>
        </w:tc>
        <w:tc>
          <w:tcPr/>
          <w:p>
            <w:pPr>
              <w:pStyle w:val="Compact"/>
              <w:jc w:val="left"/>
            </w:pPr>
            <w:r>
              <w:t xml:space="preserve">Contract Duration</w:t>
            </w:r>
          </w:p>
        </w:tc>
        <w:tc>
          <w:tcPr/>
          <w:p>
            <w:pPr>
              <w:pStyle w:val="Compact"/>
              <w:jc w:val="left"/>
            </w:pPr>
            <w:r>
              <w:t xml:space="preserve">Payment Terms</w:t>
            </w:r>
          </w:p>
        </w:tc>
      </w:tr>
      <w:tr>
        <w:tc>
          <w:tcPr/>
          <w:p>
            <w:pPr>
              <w:pStyle w:val="Compact"/>
              <w:jc w:val="left"/>
            </w:pPr>
            <w:r>
              <w:t xml:space="preserve">June 12, 2025</w:t>
            </w:r>
          </w:p>
        </w:tc>
        <w:tc>
          <w:tcPr/>
          <w:p>
            <w:pPr>
              <w:pStyle w:val="Compact"/>
              <w:jc w:val="left"/>
            </w:pPr>
            <w:r>
              <w:t xml:space="preserve">July 1, 2025</w:t>
            </w:r>
          </w:p>
        </w:tc>
        <w:tc>
          <w:tcPr/>
          <w:p>
            <w:pPr>
              <w:pStyle w:val="Compact"/>
              <w:jc w:val="left"/>
            </w:pPr>
            <w:r>
              <w:t xml:space="preserve">12 months (renewable)</w:t>
            </w:r>
          </w:p>
        </w:tc>
        <w:tc>
          <w:tcPr/>
          <w:p>
            <w:pPr>
              <w:pStyle w:val="Compact"/>
              <w:jc w:val="left"/>
            </w:pPr>
            <w:r>
              <w:t xml:space="preserve">Net 30 days from invoice</w:t>
            </w:r>
          </w:p>
        </w:tc>
      </w:tr>
    </w:tbl>
    <w:bookmarkEnd w:id="23"/>
    <w:bookmarkStart w:id="24" w:name="X0b6fe630a3fe4512e60812b41622f7f5ba8ba08"/>
    <w:p>
      <w:pPr>
        <w:pStyle w:val="Heading2"/>
      </w:pPr>
      <w:r>
        <w:t xml:space="preserve">2. Scope of Work – Financial Analyst Engagement</w:t>
      </w:r>
    </w:p>
    <w:p>
      <w:pPr>
        <w:pStyle w:val="FirstParagraph"/>
      </w:pPr>
      <w:r>
        <w:t xml:space="preserve">This</w:t>
      </w:r>
      <w:r>
        <w:t xml:space="preserve"> </w:t>
      </w:r>
      <w:r>
        <w:t xml:space="preserve">Purchase Order</w:t>
      </w:r>
      <w:r>
        <w:t xml:space="preserve"> </w:t>
      </w:r>
      <w:r>
        <w:t xml:space="preserve">authorizes the procurement of professional services for the position of</w:t>
      </w:r>
      <w:r>
        <w:t xml:space="preserve"> </w:t>
      </w:r>
      <w:r>
        <w:t xml:space="preserve">Financial Analyst</w:t>
      </w:r>
      <w:r>
        <w:t xml:space="preserve"> </w:t>
      </w:r>
      <w:r>
        <w:t xml:space="preserve">to be based and performing duties within the</w:t>
      </w:r>
      <w:r>
        <w:t xml:space="preserve"> </w:t>
      </w:r>
      <w:r>
        <w:t xml:space="preserve">Canada Toronto</w:t>
      </w:r>
      <w:r>
        <w:t xml:space="preserve"> </w:t>
      </w:r>
      <w:r>
        <w:t xml:space="preserve">metropolitan area. The</w:t>
      </w:r>
      <w:r>
        <w:t xml:space="preserve"> </w:t>
      </w:r>
      <w:r>
        <w:t xml:space="preserve">Financial Analyst</w:t>
      </w:r>
      <w:r>
        <w:t xml:space="preserve"> </w:t>
      </w:r>
      <w:r>
        <w:t xml:space="preserve">shall be responsible for the following core deliverables and responsibilities as outlined below:</w:t>
      </w:r>
    </w:p>
    <w:p>
      <w:pPr>
        <w:numPr>
          <w:ilvl w:val="0"/>
          <w:numId w:val="1001"/>
        </w:numPr>
        <w:pStyle w:val="Compact"/>
      </w:pPr>
      <w:r>
        <w:t xml:space="preserve">Prepare and maintain comprehensive financial models, variance analyses, and forecasting reports for the Meridian Capital Advisory Group portfolio of clients operating within the</w:t>
      </w:r>
      <w:r>
        <w:t xml:space="preserve"> </w:t>
      </w:r>
      <w:r>
        <w:t xml:space="preserve">Canada Toronto</w:t>
      </w:r>
      <w:r>
        <w:t xml:space="preserve"> </w:t>
      </w:r>
      <w:r>
        <w:t xml:space="preserve">financial district.</w:t>
      </w:r>
    </w:p>
    <w:p>
      <w:pPr>
        <w:numPr>
          <w:ilvl w:val="0"/>
          <w:numId w:val="1001"/>
        </w:numPr>
        <w:pStyle w:val="Compact"/>
      </w:pPr>
      <w:r>
        <w:t xml:space="preserve">Conduct detailed ratio analysis, trend assessments, and peer benchmarking to support strategic decision-making by senior leadership.</w:t>
      </w:r>
    </w:p>
    <w:p>
      <w:pPr>
        <w:numPr>
          <w:ilvl w:val="0"/>
          <w:numId w:val="1001"/>
        </w:numPr>
        <w:pStyle w:val="Compact"/>
      </w:pPr>
      <w:r>
        <w:t xml:space="preserve">Develop monthly and quarterly financial performance dashboards, ensuring compliance with Canadian GAAP (GAAP) reporting standards and the requirements of the Ontario Securities Commission.</w:t>
      </w:r>
    </w:p>
    <w:p>
      <w:pPr>
        <w:numPr>
          <w:ilvl w:val="0"/>
          <w:numId w:val="1001"/>
        </w:numPr>
        <w:pStyle w:val="Compact"/>
      </w:pPr>
      <w:r>
        <w:t xml:space="preserve">Collaborate with the internal audit team and external auditors to facilitate year-end financial statement preparation and reconciliation processes.</w:t>
      </w:r>
    </w:p>
    <w:p>
      <w:pPr>
        <w:numPr>
          <w:ilvl w:val="0"/>
          <w:numId w:val="1001"/>
        </w:numPr>
        <w:pStyle w:val="Compact"/>
      </w:pPr>
      <w:r>
        <w:t xml:space="preserve">Monitor and report on capital expenditure budgets, working capital optimization, and cash flow projections specific to the</w:t>
      </w:r>
      <w:r>
        <w:t xml:space="preserve"> </w:t>
      </w:r>
      <w:r>
        <w:t xml:space="preserve">Canada Toronto</w:t>
      </w:r>
      <w:r>
        <w:t xml:space="preserve"> </w:t>
      </w:r>
      <w:r>
        <w:t xml:space="preserve">market conditions.</w:t>
      </w:r>
    </w:p>
    <w:p>
      <w:pPr>
        <w:numPr>
          <w:ilvl w:val="0"/>
          <w:numId w:val="1001"/>
        </w:numPr>
        <w:pStyle w:val="Compact"/>
      </w:pPr>
      <w:r>
        <w:t xml:space="preserve">Assist in the preparation of board-level presentations, investor relations materials, and regulatory filings as required by Canadian corporate governance frameworks.</w:t>
      </w:r>
    </w:p>
    <w:p>
      <w:pPr>
        <w:numPr>
          <w:ilvl w:val="0"/>
          <w:numId w:val="1001"/>
        </w:numPr>
        <w:pStyle w:val="Compact"/>
      </w:pPr>
      <w:r>
        <w:t xml:space="preserve">Provide ad-hoc financial analysis and special project support as directed by the Director of Corporate Finance.</w:t>
      </w:r>
    </w:p>
    <w:bookmarkEnd w:id="24"/>
    <w:bookmarkStart w:id="25" w:name="itemized-charges-and-compensation"/>
    <w:p>
      <w:pPr>
        <w:pStyle w:val="Heading2"/>
      </w:pPr>
      <w:r>
        <w:t xml:space="preserve">3. Itemized Charges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Financial Analyst – Monthly Professional Fee (base compensation)</w:t>
            </w:r>
          </w:p>
        </w:tc>
        <w:tc>
          <w:tcPr/>
          <w:p>
            <w:pPr>
              <w:pStyle w:val="Compact"/>
              <w:jc w:val="left"/>
            </w:pPr>
            <w:r>
              <w:t xml:space="preserve">Month</w:t>
            </w:r>
          </w:p>
        </w:tc>
        <w:tc>
          <w:tcPr/>
          <w:p>
            <w:pPr>
              <w:pStyle w:val="Compact"/>
              <w:jc w:val="left"/>
            </w:pPr>
            <w:r>
              <w:t xml:space="preserve">$9,850.00</w:t>
            </w:r>
          </w:p>
        </w:tc>
        <w:tc>
          <w:tcPr/>
          <w:p>
            <w:pPr>
              <w:pStyle w:val="Compact"/>
              <w:jc w:val="left"/>
            </w:pPr>
            <w:r>
              <w:t xml:space="preserve">12</w:t>
            </w:r>
          </w:p>
        </w:tc>
        <w:tc>
          <w:tcPr/>
          <w:p>
            <w:pPr>
              <w:pStyle w:val="Compact"/>
              <w:jc w:val="left"/>
            </w:pPr>
            <w:r>
              <w:t xml:space="preserve">$118,200.00</w:t>
            </w:r>
          </w:p>
        </w:tc>
      </w:tr>
      <w:tr>
        <w:tc>
          <w:tcPr/>
          <w:p>
            <w:pPr>
              <w:pStyle w:val="Compact"/>
              <w:jc w:val="left"/>
            </w:pPr>
            <w:r>
              <w:t xml:space="preserve">002</w:t>
            </w:r>
          </w:p>
        </w:tc>
        <w:tc>
          <w:tcPr/>
          <w:p>
            <w:pPr>
              <w:pStyle w:val="Compact"/>
              <w:jc w:val="left"/>
            </w:pPr>
            <w:r>
              <w:t xml:space="preserve">Financial Analyst – Annual Performance Bonus (target 15%)</w:t>
            </w:r>
          </w:p>
        </w:tc>
        <w:tc>
          <w:tcPr/>
          <w:p>
            <w:pPr>
              <w:pStyle w:val="Compact"/>
              <w:jc w:val="left"/>
            </w:pPr>
            <w:r>
              <w:t xml:space="preserve">Year</w:t>
            </w:r>
          </w:p>
        </w:tc>
        <w:tc>
          <w:tcPr/>
          <w:p>
            <w:pPr>
              <w:pStyle w:val="Compact"/>
              <w:jc w:val="left"/>
            </w:pPr>
            <w:r>
              <w:t xml:space="preserve">$17,730.00</w:t>
            </w:r>
          </w:p>
        </w:tc>
        <w:tc>
          <w:tcPr/>
          <w:p>
            <w:pPr>
              <w:pStyle w:val="Compact"/>
              <w:jc w:val="left"/>
            </w:pPr>
            <w:r>
              <w:t xml:space="preserve">1</w:t>
            </w:r>
          </w:p>
        </w:tc>
        <w:tc>
          <w:tcPr/>
          <w:p>
            <w:pPr>
              <w:pStyle w:val="Compact"/>
              <w:jc w:val="left"/>
            </w:pPr>
            <w:r>
              <w:t xml:space="preserve">$17,730.00</w:t>
            </w:r>
          </w:p>
        </w:tc>
      </w:tr>
      <w:tr>
        <w:tc>
          <w:tcPr/>
          <w:p>
            <w:pPr>
              <w:pStyle w:val="Compact"/>
              <w:jc w:val="left"/>
            </w:pPr>
            <w:r>
              <w:t xml:space="preserve">003</w:t>
            </w:r>
          </w:p>
        </w:tc>
        <w:tc>
          <w:tcPr/>
          <w:p>
            <w:pPr>
              <w:pStyle w:val="Compact"/>
              <w:jc w:val="left"/>
            </w:pPr>
            <w:r>
              <w:t xml:space="preserve">Specialized Financial Software License (Bloomberg Terminal – Toronto office seat)</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004</w:t>
            </w:r>
          </w:p>
        </w:tc>
        <w:tc>
          <w:tcPr/>
          <w:p>
            <w:pPr>
              <w:pStyle w:val="Compact"/>
              <w:jc w:val="left"/>
            </w:pPr>
            <w:r>
              <w:t xml:space="preserve">Professional Development &amp; CFA/CPA Exam Preparation Support</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005</w:t>
            </w:r>
          </w:p>
        </w:tc>
        <w:tc>
          <w:tcPr/>
          <w:p>
            <w:pPr>
              <w:pStyle w:val="Compact"/>
              <w:jc w:val="left"/>
            </w:pPr>
            <w:r>
              <w:t xml:space="preserve">Recruitment &amp; Placement Fee (one-time, payable upon successful onboarding)</w:t>
            </w:r>
          </w:p>
        </w:tc>
        <w:tc>
          <w:tcPr/>
          <w:p>
            <w:pPr>
              <w:pStyle w:val="Compact"/>
              <w:jc w:val="left"/>
            </w:pPr>
            <w:r>
              <w:t xml:space="preserve">Flat</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006</w:t>
            </w:r>
          </w:p>
        </w:tc>
        <w:tc>
          <w:tcPr/>
          <w:p>
            <w:pPr>
              <w:pStyle w:val="Compact"/>
              <w:jc w:val="left"/>
            </w:pPr>
            <w:r>
              <w:t xml:space="preserve">Ontario Employer Health Tax &amp; CPP/EI Contributions (estimated)</w:t>
            </w:r>
          </w:p>
        </w:tc>
        <w:tc>
          <w:tcPr/>
          <w:p>
            <w:pPr>
              <w:pStyle w:val="Compact"/>
              <w:jc w:val="left"/>
            </w:pPr>
            <w:r>
              <w:t xml:space="preserve">Year</w:t>
            </w:r>
          </w:p>
        </w:tc>
        <w:tc>
          <w:tcPr/>
          <w:p>
            <w:pPr>
              <w:pStyle w:val="Compact"/>
              <w:jc w:val="left"/>
            </w:pPr>
            <w:r>
              <w:t xml:space="preserve">$8,200.00</w:t>
            </w:r>
          </w:p>
        </w:tc>
        <w:tc>
          <w:tcPr/>
          <w:p>
            <w:pPr>
              <w:pStyle w:val="Compact"/>
              <w:jc w:val="left"/>
            </w:pPr>
            <w:r>
              <w:t xml:space="preserve">1</w:t>
            </w:r>
          </w:p>
        </w:tc>
        <w:tc>
          <w:tcPr/>
          <w:p>
            <w:pPr>
              <w:pStyle w:val="Compact"/>
              <w:jc w:val="left"/>
            </w:pPr>
            <w:r>
              <w:t xml:space="preserve">$8,200.00</w:t>
            </w:r>
          </w:p>
        </w:tc>
      </w:tr>
      <w:tr>
        <w:tc>
          <w:tcPr>
            <w:gridSpan w:val="5"/>
          </w:tcPr>
          <w:p>
            <w:pPr>
              <w:pStyle w:val="Compact"/>
              <w:jc w:val="left"/>
            </w:pPr>
            <w:r>
              <w:t xml:space="preserve">Subtotal (CAD)</w:t>
            </w:r>
          </w:p>
        </w:tc>
        <w:tc>
          <w:tcPr/>
          <w:p>
            <w:pPr>
              <w:pStyle w:val="Compact"/>
              <w:jc w:val="left"/>
            </w:pPr>
            <w:r>
              <w:t xml:space="preserve">$184,130.00</w:t>
            </w:r>
          </w:p>
        </w:tc>
      </w:tr>
      <w:tr>
        <w:tc>
          <w:tcPr>
            <w:gridSpan w:val="5"/>
          </w:tcPr>
          <w:p>
            <w:pPr>
              <w:pStyle w:val="Compact"/>
              <w:jc w:val="left"/>
            </w:pPr>
            <w:r>
              <w:t xml:space="preserve">HST (13% – Ontario, Canada Toronto)</w:t>
            </w:r>
          </w:p>
        </w:tc>
        <w:tc>
          <w:tcPr/>
          <w:p>
            <w:pPr>
              <w:pStyle w:val="Compact"/>
              <w:jc w:val="left"/>
            </w:pPr>
            <w:r>
              <w:t xml:space="preserve">$23,936.90</w:t>
            </w:r>
          </w:p>
        </w:tc>
      </w:tr>
      <w:tr>
        <w:tc>
          <w:tcPr>
            <w:gridSpan w:val="5"/>
          </w:tcPr>
          <w:p>
            <w:pPr>
              <w:pStyle w:val="Compact"/>
              <w:jc w:val="left"/>
            </w:pPr>
            <w:r>
              <w:rPr>
                <w:bCs/>
                <w:b/>
              </w:rPr>
              <w:t xml:space="preserve">TOTAL PURCHASE ORDER VALUE (CAD)</w:t>
            </w:r>
          </w:p>
        </w:tc>
        <w:tc>
          <w:tcPr/>
          <w:p>
            <w:pPr>
              <w:pStyle w:val="Compact"/>
              <w:jc w:val="left"/>
            </w:pPr>
            <w:r>
              <w:rPr>
                <w:bCs/>
                <w:b/>
              </w:rPr>
              <w:t xml:space="preserve">$208,066.90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Meridian Capital Advisory Group Inc. and Northbridge Talent Solutions Ltd. for the provision of a qualified</w:t>
      </w:r>
      <w:r>
        <w:t xml:space="preserve"> </w:t>
      </w:r>
      <w:r>
        <w:t xml:space="preserve">Financial Analyst</w:t>
      </w:r>
      <w:r>
        <w:t xml:space="preserve"> </w:t>
      </w:r>
      <w:r>
        <w:t xml:space="preserve">to perform services in</w:t>
      </w:r>
      <w:r>
        <w:t xml:space="preserve"> </w:t>
      </w:r>
      <w:r>
        <w:t xml:space="preserve">Canada Toronto</w:t>
      </w:r>
      <w:r>
        <w:t xml:space="preserve">.</w:t>
      </w:r>
    </w:p>
    <w:p>
      <w:pPr>
        <w:numPr>
          <w:ilvl w:val="0"/>
          <w:numId w:val="1002"/>
        </w:numPr>
        <w:pStyle w:val="Compact"/>
      </w:pPr>
      <w:r>
        <w:t xml:space="preserve">All compensation and fees stated herein are denominated in Canadian Dollars (CAD) and are subject to applicable federal and Ontario provincial tax withholdings as mandated by the Canada Revenue Agency (CRA).</w:t>
      </w:r>
    </w:p>
    <w:p>
      <w:pPr>
        <w:numPr>
          <w:ilvl w:val="0"/>
          <w:numId w:val="1002"/>
        </w:numPr>
        <w:pStyle w:val="Compact"/>
      </w:pPr>
      <w:r>
        <w:t xml:space="preserve">The</w:t>
      </w:r>
      <w:r>
        <w:t xml:space="preserve"> </w:t>
      </w:r>
      <w:r>
        <w:t xml:space="preserve">Financial Analyst</w:t>
      </w:r>
      <w:r>
        <w:t xml:space="preserve"> </w:t>
      </w:r>
      <w:r>
        <w:t xml:space="preserve">shall be required to work a minimum of 38 hours per week from the Meridian Capital Advisory Group office located in the</w:t>
      </w:r>
      <w:r>
        <w:t xml:space="preserve"> </w:t>
      </w:r>
      <w:r>
        <w:t xml:space="preserve">Canada Toronto</w:t>
      </w:r>
      <w:r>
        <w:t xml:space="preserve"> </w:t>
      </w:r>
      <w:r>
        <w:t xml:space="preserve">financial district, with a hybrid remote option of up to two days per week subject to managerial approval.</w:t>
      </w:r>
    </w:p>
    <w:p>
      <w:pPr>
        <w:numPr>
          <w:ilvl w:val="0"/>
          <w:numId w:val="1002"/>
        </w:numPr>
        <w:pStyle w:val="Compact"/>
      </w:pPr>
      <w:r>
        <w:t xml:space="preserve">Payment shall be processed within thirty (30) calendar days of receipt of a valid invoice. Late payments shall accrue interest at the rate of 1.5% per month in accordance with the Ontario</w:t>
      </w:r>
      <w:r>
        <w:t xml:space="preserve"> </w:t>
      </w:r>
      <w:r>
        <w:rPr>
          <w:iCs/>
          <w:i/>
        </w:rPr>
        <w:t xml:space="preserve">Interest Act</w:t>
      </w:r>
      <w:r>
        <w:t xml:space="preserve">.</w:t>
      </w:r>
    </w:p>
    <w:p>
      <w:pPr>
        <w:numPr>
          <w:ilvl w:val="0"/>
          <w:numId w:val="1002"/>
        </w:numPr>
        <w:pStyle w:val="Compact"/>
      </w:pPr>
      <w:r>
        <w:t xml:space="preserve">The</w:t>
      </w:r>
      <w:r>
        <w:t xml:space="preserve"> </w:t>
      </w:r>
      <w:r>
        <w:t xml:space="preserve">Financial Analyst</w:t>
      </w:r>
      <w:r>
        <w:t xml:space="preserve"> </w:t>
      </w:r>
      <w:r>
        <w:t xml:space="preserve">is required to maintain a valid CPA (Canada) or CFA charter designation, or be within two years of completing the requisite examination requirements.</w:t>
      </w:r>
    </w:p>
    <w:p>
      <w:pPr>
        <w:numPr>
          <w:ilvl w:val="0"/>
          <w:numId w:val="1002"/>
        </w:numPr>
        <w:pStyle w:val="Compact"/>
      </w:pPr>
      <w:r>
        <w:t xml:space="preserve">Confidentiality and non-disclosure obligations shall apply to all financial data, client information, and proprietary models accessed during the term of this</w:t>
      </w:r>
      <w:r>
        <w:t xml:space="preserve"> </w:t>
      </w:r>
      <w:r>
        <w:t xml:space="preserve">Purchase Order</w:t>
      </w:r>
      <w:r>
        <w:t xml:space="preserve">, in compliance with the</w:t>
      </w:r>
      <w:r>
        <w:t xml:space="preserve"> </w:t>
      </w:r>
      <w:r>
        <w:rPr>
          <w:iCs/>
          <w:i/>
        </w:rPr>
        <w:t xml:space="preserve">Personal Information Protection and Electronic Documents Act</w:t>
      </w:r>
      <w:r>
        <w:t xml:space="preserve"> </w:t>
      </w:r>
      <w:r>
        <w:t xml:space="preserve">(PIPEDA).</w:t>
      </w:r>
    </w:p>
    <w:p>
      <w:pPr>
        <w:numPr>
          <w:ilvl w:val="0"/>
          <w:numId w:val="1002"/>
        </w:numPr>
        <w:pStyle w:val="Compact"/>
      </w:pPr>
      <w:r>
        <w:t xml:space="preserve">Either party may terminate this engagement with thirty (30) days written notice. In the event of termination, all outstanding invoices for services rendered up to the termination date shall be settled in full.</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Province of Ontario and the federal laws of Canada applicable in</w:t>
      </w:r>
      <w:r>
        <w:t xml:space="preserve"> </w:t>
      </w:r>
      <w:r>
        <w:t xml:space="preserve">Canada Toronto</w:t>
      </w:r>
      <w:r>
        <w:t xml:space="preserve">.</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binding arbitration in</w:t>
      </w:r>
      <w:r>
        <w:t xml:space="preserve"> </w:t>
      </w:r>
      <w:r>
        <w:t xml:space="preserve">Canada Toronto</w:t>
      </w:r>
      <w:r>
        <w:t xml:space="preserve"> </w:t>
      </w:r>
      <w:r>
        <w:t xml:space="preserve">under the rules of the Arbitration Association of Canada.</w:t>
      </w:r>
    </w:p>
    <w:bookmarkEnd w:id="26"/>
    <w:bookmarkStart w:id="27" w:name="approval-and-authorization"/>
    <w:p>
      <w:pPr>
        <w:pStyle w:val="Heading2"/>
      </w:pPr>
      <w:r>
        <w:t xml:space="preserve">5. Approval and Authorization</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Canada Toronto</w:t>
      </w:r>
      <w:r>
        <w:t xml:space="preserve"> </w:t>
      </w:r>
      <w:r>
        <w:t xml:space="preserve">has been reviewed and approved by the undersigned authorized representatives of both parties. By signing below, each party acknowledges acceptance of all terms, conditions, and financial obligations set forth in this document.</w:t>
      </w:r>
    </w:p>
    <w:p>
      <w:pPr>
        <w:pStyle w:val="BodyText"/>
      </w:pPr>
      <w:r>
        <w:rPr>
          <w:bCs/>
          <w:b/>
        </w:rPr>
        <w:t xml:space="preserve">For: Meridian Capital Advisory Group Inc. (Buyer)</w:t>
      </w:r>
    </w:p>
    <w:p>
      <w:pPr>
        <w:pStyle w:val="BodyText"/>
      </w:pPr>
      <w:r>
        <w:t xml:space="preserve">Name: Sarah Whitfield</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Northbridge Talent Solutions Ltd. (Supplier)</w:t>
      </w:r>
    </w:p>
    <w:p>
      <w:pPr>
        <w:pStyle w:val="BodyText"/>
      </w:pPr>
      <w:r>
        <w:t xml:space="preserve">Name: David Chen</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No. CAN-TO-2025-FA-0047 | Meridian Capital Advisory Group Inc. | Canada Toronto, ON | Page 1 of 1</w:t>
      </w:r>
    </w:p>
    <w:p>
      <w:pPr>
        <w:pStyle w:val="BodyText"/>
      </w:pPr>
      <w:r>
        <w:t xml:space="preserve">This document is the property of Meridian Capital Advisory Group Inc.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Canada Toronto</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