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Issued in Egypt Alexandria — Republic of Egypt</w:t>
      </w:r>
    </w:p>
    <w:bookmarkEnd w:id="20"/>
    <w:p>
      <w:pPr>
        <w:pStyle w:val="BodyText"/>
      </w:pPr>
      <w:r>
        <w:t xml:space="preserve">Purchase Order No.: PO-EGY-ALX-2025-04782</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(Requisitioning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Alexandria Coastal Development Authority (ACDA)</w:t>
            </w:r>
          </w:p>
        </w:tc>
        <w:tc>
          <w:tcPr/>
          <w:p>
            <w:pPr>
              <w:pStyle w:val="Compact"/>
              <w:jc w:val="left"/>
            </w:pPr>
            <w:r>
              <w:t xml:space="preserve">Nile Delta Professional Consulting Group (NDPCG)</w:t>
            </w:r>
          </w:p>
        </w:tc>
      </w:tr>
      <w:tr>
        <w:tc>
          <w:tcPr/>
          <w:p>
            <w:pPr>
              <w:pStyle w:val="Compact"/>
              <w:jc w:val="left"/>
            </w:pPr>
            <w:r>
              <w:rPr>
                <w:bCs/>
                <w:b/>
              </w:rPr>
              <w:t xml:space="preserve">Address</w:t>
            </w:r>
          </w:p>
        </w:tc>
        <w:tc>
          <w:tcPr/>
          <w:p>
            <w:pPr>
              <w:pStyle w:val="Compact"/>
              <w:jc w:val="left"/>
            </w:pPr>
            <w:r>
              <w:t xml:space="preserve">14 Corniche El-Nil Street, Smouha District, Egypt Alexandria, P.O. Box 2214, Egypt</w:t>
            </w:r>
          </w:p>
        </w:tc>
        <w:tc>
          <w:tcPr/>
          <w:p>
            <w:pPr>
              <w:pStyle w:val="Compact"/>
              <w:jc w:val="left"/>
            </w:pPr>
            <w:r>
              <w:t xml:space="preserve">88 El-Montazah Road, El-Montazah District, Egypt Alexandria, P.O. Box 5531, Egypt</w:t>
            </w:r>
          </w:p>
        </w:tc>
      </w:tr>
      <w:tr>
        <w:tc>
          <w:tcPr/>
          <w:p>
            <w:pPr>
              <w:pStyle w:val="Compact"/>
              <w:jc w:val="left"/>
            </w:pPr>
            <w:r>
              <w:rPr>
                <w:bCs/>
                <w:b/>
              </w:rPr>
              <w:t xml:space="preserve">Tax Registration No.</w:t>
            </w:r>
          </w:p>
        </w:tc>
        <w:tc>
          <w:tcPr/>
          <w:p>
            <w:pPr>
              <w:pStyle w:val="Compact"/>
              <w:jc w:val="left"/>
            </w:pPr>
            <w:r>
              <w:t xml:space="preserve">EG-TR-2019-44821</w:t>
            </w:r>
          </w:p>
        </w:tc>
        <w:tc>
          <w:tcPr/>
          <w:p>
            <w:pPr>
              <w:pStyle w:val="Compact"/>
              <w:jc w:val="left"/>
            </w:pPr>
            <w:r>
              <w:t xml:space="preserve">EG-TR-2017-33105</w:t>
            </w:r>
          </w:p>
        </w:tc>
      </w:tr>
      <w:tr>
        <w:tc>
          <w:tcPr/>
          <w:p>
            <w:pPr>
              <w:pStyle w:val="Compact"/>
              <w:jc w:val="left"/>
            </w:pPr>
            <w:r>
              <w:rPr>
                <w:bCs/>
                <w:b/>
              </w:rPr>
              <w:t xml:space="preserve">Contact Person</w:t>
            </w:r>
          </w:p>
        </w:tc>
        <w:tc>
          <w:tcPr/>
          <w:p>
            <w:pPr>
              <w:pStyle w:val="Compact"/>
              <w:jc w:val="left"/>
            </w:pPr>
            <w:r>
              <w:t xml:space="preserve">Dr. Mahmoud El-Sayed, Director of Finance</w:t>
            </w:r>
          </w:p>
        </w:tc>
        <w:tc>
          <w:tcPr/>
          <w:p>
            <w:pPr>
              <w:pStyle w:val="Compact"/>
              <w:jc w:val="left"/>
            </w:pPr>
            <w:r>
              <w:t xml:space="preserve">Ms. Layla Hassan, Managing Partner</w:t>
            </w:r>
          </w:p>
        </w:tc>
      </w:tr>
      <w:tr>
        <w:tc>
          <w:tcPr/>
          <w:p>
            <w:pPr>
              <w:pStyle w:val="Compact"/>
              <w:jc w:val="left"/>
            </w:pPr>
            <w:r>
              <w:rPr>
                <w:bCs/>
                <w:b/>
              </w:rPr>
              <w:t xml:space="preserve">Email</w:t>
            </w:r>
          </w:p>
        </w:tc>
        <w:tc>
          <w:tcPr/>
          <w:p>
            <w:pPr>
              <w:pStyle w:val="Compact"/>
              <w:jc w:val="left"/>
            </w:pPr>
            <w:r>
              <w:t xml:space="preserve">finance@acda-alexandria.gov.eg</w:t>
            </w:r>
          </w:p>
        </w:tc>
        <w:tc>
          <w:tcPr/>
          <w:p>
            <w:pPr>
              <w:pStyle w:val="Compact"/>
              <w:jc w:val="left"/>
            </w:pPr>
            <w:r>
              <w:t xml:space="preserve">contracts@ndpcg-egypt.com</w:t>
            </w:r>
          </w:p>
        </w:tc>
      </w:tr>
      <w:tr>
        <w:tc>
          <w:tcPr/>
          <w:p>
            <w:pPr>
              <w:pStyle w:val="Compact"/>
              <w:jc w:val="left"/>
            </w:pPr>
            <w:r>
              <w:rPr>
                <w:bCs/>
                <w:b/>
              </w:rPr>
              <w:t xml:space="preserve">Phone</w:t>
            </w:r>
          </w:p>
        </w:tc>
        <w:tc>
          <w:tcPr/>
          <w:p>
            <w:pPr>
              <w:pStyle w:val="Compact"/>
              <w:jc w:val="left"/>
            </w:pPr>
            <w:r>
              <w:t xml:space="preserve">+20-3-552-8841</w:t>
            </w:r>
          </w:p>
        </w:tc>
        <w:tc>
          <w:tcPr/>
          <w:p>
            <w:pPr>
              <w:pStyle w:val="Compact"/>
              <w:jc w:val="left"/>
            </w:pPr>
            <w:r>
              <w:t xml:space="preserve">+20-3-487-2210</w:t>
            </w:r>
          </w:p>
        </w:tc>
      </w:tr>
    </w:tbl>
    <w:bookmarkEnd w:id="21"/>
    <w:bookmarkStart w:id="22"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Egyptian Pound (EGP)</w:t>
            </w:r>
          </w:p>
        </w:tc>
      </w:tr>
      <w:tr>
        <w:tc>
          <w:tcPr/>
          <w:p>
            <w:pPr>
              <w:pStyle w:val="Compact"/>
              <w:jc w:val="left"/>
            </w:pPr>
            <w:r>
              <w:rPr>
                <w:bCs/>
                <w:b/>
              </w:rPr>
              <w:t xml:space="preserve">Valid Until:</w:t>
            </w:r>
          </w:p>
        </w:tc>
        <w:tc>
          <w:tcPr/>
          <w:p>
            <w:pPr>
              <w:pStyle w:val="Compact"/>
              <w:jc w:val="left"/>
            </w:pPr>
            <w:r>
              <w:t xml:space="preserve">31 August 2025</w:t>
            </w:r>
          </w:p>
        </w:tc>
        <w:tc>
          <w:tcPr/>
          <w:p>
            <w:pPr>
              <w:pStyle w:val="Compact"/>
              <w:jc w:val="left"/>
            </w:pPr>
            <w:r>
              <w:rPr>
                <w:bCs/>
                <w:b/>
              </w:rPr>
              <w:t xml:space="preserve">Delivery Location:</w:t>
            </w:r>
          </w:p>
        </w:tc>
        <w:tc>
          <w:tcPr/>
          <w:p>
            <w:pPr>
              <w:pStyle w:val="Compact"/>
              <w:jc w:val="left"/>
            </w:pPr>
            <w:r>
              <w:t xml:space="preserve">ACDA Headquarters, Smouha, Egypt Alexandria</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the Alexandria Coastal Development Authority to formally procure the professional services of a qualified</w:t>
      </w:r>
      <w:r>
        <w:t xml:space="preserve"> </w:t>
      </w:r>
      <w:r>
        <w:t xml:space="preserve">Financial Analyst</w:t>
      </w:r>
      <w:r>
        <w:t xml:space="preserve"> </w:t>
      </w:r>
      <w:r>
        <w:t xml:space="preserve">to be engaged on a full-time, twelve-month contract basis. The</w:t>
      </w:r>
      <w:r>
        <w:t xml:space="preserve"> </w:t>
      </w:r>
      <w:r>
        <w:t xml:space="preserve">Financial Analyst</w:t>
      </w:r>
      <w:r>
        <w:t xml:space="preserve"> </w:t>
      </w:r>
      <w:r>
        <w:t xml:space="preserve">shall be physically stationed at the ACDA headquarters in</w:t>
      </w:r>
      <w:r>
        <w:t xml:space="preserve"> </w:t>
      </w:r>
      <w:r>
        <w:t xml:space="preserve">Egypt Alexandria</w:t>
      </w:r>
      <w:r>
        <w:t xml:space="preserve"> </w:t>
      </w:r>
      <w:r>
        <w:t xml:space="preserve">and shall report directly to the Director of Finance. The scope of engagement is designed to support the Authority's ongoing capital expenditure projects, municipal budgeting cycles, and strategic investment planning initiatives across the Alexandria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Engagement of a senior Financial Analyst (minimum 7 years experience in public-sector financial modeling, variance analysis, and investment appraisal) for a 12-month contract period, based in Egypt Alexandria</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Provision of specialized financial analysis software licenses (Bloomberg Terminal access, Advanced Excel Modeling Suite, and Power BI Enterprise) for the Financial Analyst workstation in Egypt Alexandria</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03</w:t>
            </w:r>
          </w:p>
        </w:tc>
        <w:tc>
          <w:tcPr/>
          <w:p>
            <w:pPr>
              <w:pStyle w:val="Compact"/>
              <w:jc w:val="left"/>
            </w:pPr>
            <w:r>
              <w:t xml:space="preserve">Comprehensive onboarding, regulatory compliance training (Egyptian Central Bank reporting standards), and professional development program for the Financial Analyst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Monthly financial reporting, budget variance analysis, and quarterly investment portfolio reviews delivered to ACDA leadership in Egypt Alexandria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Ad-hoc financial advisory and special project support (up to 80 hours per quarter) for the Financial Analyst as directed by ACDA management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35,000.00</w:t>
            </w:r>
          </w:p>
        </w:tc>
        <w:tc>
          <w:tcPr/>
          <w:p>
            <w:pPr>
              <w:pStyle w:val="Compact"/>
              <w:jc w:val="left"/>
            </w:pPr>
            <w:r>
              <w:t xml:space="preserve">140,000.00</w:t>
            </w:r>
          </w:p>
        </w:tc>
      </w:tr>
      <w:tr>
        <w:tc>
          <w:tcPr>
            <w:gridSpan w:val="5"/>
          </w:tcPr>
          <w:p>
            <w:pPr>
              <w:pStyle w:val="Compact"/>
              <w:jc w:val="right"/>
            </w:pPr>
            <w:r>
              <w:t xml:space="preserve">Subtotal (EGP):</w:t>
            </w:r>
          </w:p>
        </w:tc>
        <w:tc>
          <w:tcPr/>
          <w:p>
            <w:pPr>
              <w:pStyle w:val="Compact"/>
              <w:jc w:val="left"/>
            </w:pPr>
            <w:r>
              <w:t xml:space="preserve">791,500.00</w:t>
            </w:r>
          </w:p>
        </w:tc>
      </w:tr>
      <w:tr>
        <w:tc>
          <w:tcPr>
            <w:gridSpan w:val="5"/>
          </w:tcPr>
          <w:p>
            <w:pPr>
              <w:pStyle w:val="Compact"/>
              <w:jc w:val="right"/>
            </w:pPr>
            <w:r>
              <w:t xml:space="preserve">VAT (14% per Egyptian Tax Law):</w:t>
            </w:r>
          </w:p>
        </w:tc>
        <w:tc>
          <w:tcPr/>
          <w:p>
            <w:pPr>
              <w:pStyle w:val="Compact"/>
              <w:jc w:val="left"/>
            </w:pPr>
            <w:r>
              <w:t xml:space="preserve">110,810.00</w:t>
            </w:r>
          </w:p>
        </w:tc>
      </w:tr>
      <w:tr>
        <w:tc>
          <w:tcPr>
            <w:gridSpan w:val="5"/>
          </w:tcPr>
          <w:p>
            <w:pPr>
              <w:pStyle w:val="Compact"/>
              <w:jc w:val="right"/>
            </w:pPr>
            <w:r>
              <w:t xml:space="preserve">TOTAL AMOUNT DUE (EGP):</w:t>
            </w:r>
          </w:p>
        </w:tc>
        <w:tc>
          <w:tcPr/>
          <w:p>
            <w:pPr>
              <w:pStyle w:val="Compact"/>
              <w:jc w:val="left"/>
            </w:pPr>
            <w:r>
              <w:t xml:space="preserve">902,310.00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Financial Analyst</w:t>
      </w:r>
      <w:r>
        <w:t xml:space="preserve"> </w:t>
      </w:r>
      <w:r>
        <w:t xml:space="preserve">engaged under this Purchase Order shall perform the following duties while operating out of the ACDA office in</w:t>
      </w:r>
      <w:r>
        <w:t xml:space="preserve"> </w:t>
      </w:r>
      <w:r>
        <w:t xml:space="preserve">Egypt Alexandria</w:t>
      </w:r>
      <w:r>
        <w:t xml:space="preserve">:</w:t>
      </w:r>
    </w:p>
    <w:p>
      <w:pPr>
        <w:numPr>
          <w:ilvl w:val="0"/>
          <w:numId w:val="1001"/>
        </w:numPr>
        <w:pStyle w:val="Compact"/>
      </w:pPr>
      <w:r>
        <w:t xml:space="preserve">Prepare and maintain comprehensive monthly and quarterly financial statements in compliance with Egyptian Accounting Standards (EAS) and International Financial Reporting Standards (IFRS) as adopted by the Egyptian Financial Regulatory Authority (FRA).</w:t>
      </w:r>
    </w:p>
    <w:p>
      <w:pPr>
        <w:numPr>
          <w:ilvl w:val="0"/>
          <w:numId w:val="1001"/>
        </w:numPr>
        <w:pStyle w:val="Compact"/>
      </w:pPr>
      <w:r>
        <w:t xml:space="preserve">Conduct detailed variance analysis between projected and actual expenditures for all ACDA capital projects, including the Alexandria Port Expansion Initiative and the Coastal Road Rehabilitation Program.</w:t>
      </w:r>
    </w:p>
    <w:p>
      <w:pPr>
        <w:numPr>
          <w:ilvl w:val="0"/>
          <w:numId w:val="1001"/>
        </w:numPr>
        <w:pStyle w:val="Compact"/>
      </w:pPr>
      <w:r>
        <w:t xml:space="preserve">Develop and update financial models for investment appraisal, including Net Present Value (NPV), Internal Rate of Return (IRR), and Payback Period calculations for proposed infrastructure projects in the Alexandria governorate.</w:t>
      </w:r>
    </w:p>
    <w:p>
      <w:pPr>
        <w:numPr>
          <w:ilvl w:val="0"/>
          <w:numId w:val="1001"/>
        </w:numPr>
        <w:pStyle w:val="Compact"/>
      </w:pPr>
      <w:r>
        <w:t xml:space="preserve">Monitor and report on the Authority's cash flow position, liquidity ratios, and working capital management on a weekly basis to the Director of Finance.</w:t>
      </w:r>
    </w:p>
    <w:p>
      <w:pPr>
        <w:numPr>
          <w:ilvl w:val="0"/>
          <w:numId w:val="1001"/>
        </w:numPr>
        <w:pStyle w:val="Compact"/>
      </w:pPr>
      <w:r>
        <w:t xml:space="preserve">Assist in the preparation of annual budget submissions to the Ministry of Finance and the Alexandria Governorate Council.</w:t>
      </w:r>
    </w:p>
    <w:p>
      <w:pPr>
        <w:numPr>
          <w:ilvl w:val="0"/>
          <w:numId w:val="1001"/>
        </w:numPr>
        <w:pStyle w:val="Compact"/>
      </w:pPr>
      <w:r>
        <w:t xml:space="preserve">Provide analytical support for public-private partnership (PPP) negotiations and concession agreements relevant to the Egypt Alexandria waterfront development zone.</w:t>
      </w:r>
    </w:p>
    <w:p>
      <w:pPr>
        <w:numPr>
          <w:ilvl w:val="0"/>
          <w:numId w:val="1001"/>
        </w:numPr>
        <w:pStyle w:val="Compact"/>
      </w:pPr>
      <w:r>
        <w:t xml:space="preserve">Ensure all financial data is securely stored and managed in accordance with Egypt's Personal Data Protection Law (Law No. 151 of 2020).</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Arab Republic of Egypt, including the Egyptian Civil Code and the Public Procurement Law (Law No. 182 of 2018).</w:t>
      </w:r>
    </w:p>
    <w:p>
      <w:pPr>
        <w:numPr>
          <w:ilvl w:val="0"/>
          <w:numId w:val="1002"/>
        </w:numPr>
        <w:pStyle w:val="Compact"/>
      </w:pPr>
      <w:r>
        <w:t xml:space="preserve">The</w:t>
      </w:r>
      <w:r>
        <w:t xml:space="preserve"> </w:t>
      </w:r>
      <w:r>
        <w:t xml:space="preserve">Financial Analyst</w:t>
      </w:r>
      <w:r>
        <w:t xml:space="preserve"> </w:t>
      </w:r>
      <w:r>
        <w:t xml:space="preserve">shall be subject to a background check, professional reference verification, and a medical fitness assessment prior to commencing duties in</w:t>
      </w:r>
      <w:r>
        <w:t xml:space="preserve"> </w:t>
      </w:r>
      <w:r>
        <w:t xml:space="preserve">Egypt Alexandria</w:t>
      </w:r>
      <w:r>
        <w:t xml:space="preserve">.</w:t>
      </w:r>
    </w:p>
    <w:p>
      <w:pPr>
        <w:numPr>
          <w:ilvl w:val="0"/>
          <w:numId w:val="1002"/>
        </w:numPr>
        <w:pStyle w:val="Compact"/>
      </w:pPr>
      <w:r>
        <w:t xml:space="preserve">Payment shall be released in quarterly installments of EGP 225,577.50 (inclusive of VAT), subject to satisfactory performance evaluation by the ACDA Director of Finance.</w:t>
      </w:r>
    </w:p>
    <w:p>
      <w:pPr>
        <w:numPr>
          <w:ilvl w:val="0"/>
          <w:numId w:val="1002"/>
        </w:numPr>
        <w:pStyle w:val="Compact"/>
      </w:pPr>
      <w:r>
        <w:t xml:space="preserve">The Supplier (NDPCG) warrants that the</w:t>
      </w:r>
      <w:r>
        <w:t xml:space="preserve"> </w:t>
      </w:r>
      <w:r>
        <w:t xml:space="preserve">Financial Analyst</w:t>
      </w:r>
      <w:r>
        <w:t xml:space="preserve"> </w:t>
      </w:r>
      <w:r>
        <w:t xml:space="preserve">holds a minimum of a Bachelor's degree in Finance, Accounting, or Economics from an accredited Egyptian or internationally recognized university, and possesses a CFA, CMA, or equivalent professional certification.</w:t>
      </w:r>
    </w:p>
    <w:p>
      <w:pPr>
        <w:numPr>
          <w:ilvl w:val="0"/>
          <w:numId w:val="1002"/>
        </w:numPr>
        <w:pStyle w:val="Compact"/>
      </w:pPr>
      <w:r>
        <w:t xml:space="preserve">Either party may terminate this Purchase Order with 60 days' written notice. In the event of termination, the Supplier shall ensure a minimum 30-day knowledge transfer period for the</w:t>
      </w:r>
      <w:r>
        <w:t xml:space="preserve"> </w:t>
      </w:r>
      <w:r>
        <w:t xml:space="preserve">Financial Analyst</w:t>
      </w:r>
      <w:r>
        <w:t xml:space="preserve"> </w:t>
      </w:r>
      <w:r>
        <w:t xml:space="preserve">role.</w:t>
      </w:r>
    </w:p>
    <w:p>
      <w:pPr>
        <w:numPr>
          <w:ilvl w:val="0"/>
          <w:numId w:val="1002"/>
        </w:numPr>
        <w:pStyle w:val="Compact"/>
      </w:pPr>
      <w:r>
        <w:t xml:space="preserve">All disputes arising from this Purchase Order shall be resolved through arbitration in</w:t>
      </w:r>
      <w:r>
        <w:t xml:space="preserve"> </w:t>
      </w:r>
      <w:r>
        <w:t xml:space="preserve">Egypt Alexandria</w:t>
      </w:r>
      <w:r>
        <w:t xml:space="preserve"> </w:t>
      </w:r>
      <w:r>
        <w:t xml:space="preserve">in accordance with the rules of the Egyptian Arbitration Center.</w:t>
      </w:r>
    </w:p>
    <w:p>
      <w:pPr>
        <w:numPr>
          <w:ilvl w:val="0"/>
          <w:numId w:val="1002"/>
        </w:numPr>
        <w:pStyle w:val="Compact"/>
      </w:pPr>
      <w:r>
        <w:t xml:space="preserve">The Supplier shall maintain professional indemnity insurance with a minimum coverage of EGP 5,000,000 for the duration of this engagement.</w:t>
      </w:r>
    </w:p>
    <w:bookmarkEnd w:id="25"/>
    <w:bookmarkStart w:id="26" w:name="acceptance-and-authorization"/>
    <w:p>
      <w:pPr>
        <w:pStyle w:val="Heading2"/>
      </w:pPr>
      <w:r>
        <w:t xml:space="preserve">6. Acceptance and Authorization</w:t>
      </w:r>
    </w:p>
    <w:p>
      <w:pPr>
        <w:pStyle w:val="FirstParagraph"/>
      </w:pPr>
      <w:r>
        <w:t xml:space="preserve">This Purchase Order is hereby issued and authorized by the undersigned on behalf of the Alexandria Coastal Development Authority. The Supplier acknowledges receipt and acceptance of all terms, conditions, and specifications outlined in this document. By signing below, both parties confirm their commitment to the procurement of the</w:t>
      </w:r>
      <w:r>
        <w:t xml:space="preserve"> </w:t>
      </w:r>
      <w:r>
        <w:t xml:space="preserve">Financial Analyst</w:t>
      </w:r>
      <w:r>
        <w:t xml:space="preserve"> </w:t>
      </w:r>
      <w:r>
        <w:t xml:space="preserve">services as described herein, to be delivered and performed in</w:t>
      </w:r>
      <w:r>
        <w:t xml:space="preserve"> </w:t>
      </w:r>
      <w:r>
        <w:t xml:space="preserve">Egypt Alexandria</w:t>
      </w:r>
      <w:r>
        <w:t xml:space="preserve">.</w:t>
      </w:r>
    </w:p>
    <w:bookmarkEnd w:id="26"/>
    <w:p>
      <w:pPr>
        <w:pStyle w:val="BodyText"/>
      </w:pPr>
      <w:r>
        <w:rPr>
          <w:bCs/>
          <w:b/>
        </w:rPr>
        <w:t xml:space="preserve">For and on behalf of the Buyer:</w:t>
      </w:r>
    </w:p>
    <w:p>
      <w:pPr>
        <w:pStyle w:val="BodyText"/>
      </w:pPr>
      <w:r>
        <w:t xml:space="preserve">Alexandria Coastal Development Authority</w:t>
      </w:r>
    </w:p>
    <w:p>
      <w:pPr>
        <w:pStyle w:val="BodyText"/>
      </w:pPr>
      <w:r>
        <w:t xml:space="preserve">Dr. Mahmoud El-Sayed</w:t>
      </w:r>
      <w:r>
        <w:br/>
      </w:r>
      <w:r>
        <w:t xml:space="preserve">Director of Finance</w:t>
      </w:r>
      <w:r>
        <w:br/>
      </w:r>
      <w:r>
        <w:t xml:space="preserve">Date: _______________</w:t>
      </w:r>
    </w:p>
    <w:p>
      <w:pPr>
        <w:pStyle w:val="BodyText"/>
      </w:pPr>
      <w:r>
        <w:rPr>
          <w:bCs/>
          <w:b/>
        </w:rPr>
        <w:t xml:space="preserve">For and on behalf of the Supplier:</w:t>
      </w:r>
    </w:p>
    <w:p>
      <w:pPr>
        <w:pStyle w:val="BodyText"/>
      </w:pPr>
      <w:r>
        <w:t xml:space="preserve">Nile Delta Professional Consulting Group</w:t>
      </w:r>
    </w:p>
    <w:p>
      <w:pPr>
        <w:pStyle w:val="BodyText"/>
      </w:pPr>
      <w:r>
        <w:t xml:space="preserve">Ms. Layla Hassan</w:t>
      </w:r>
      <w:r>
        <w:br/>
      </w:r>
      <w:r>
        <w:t xml:space="preserve">Managing Partner</w:t>
      </w:r>
      <w:r>
        <w:br/>
      </w:r>
      <w:r>
        <w:t xml:space="preserve">Date: _______________</w:t>
      </w:r>
    </w:p>
    <w:p>
      <w:pPr>
        <w:pStyle w:val="BodyText"/>
      </w:pPr>
      <w:r>
        <w:t xml:space="preserve">Purchase Order No. PO-EGY-ALX-2025-04782 | Issued in Egypt Alexandria, Republic of Egypt</w:t>
      </w:r>
    </w:p>
    <w:p>
      <w:pPr>
        <w:pStyle w:val="BodyText"/>
      </w:pPr>
      <w:r>
        <w:t xml:space="preserve">This document is the property of the Alexandria Coastal Development Authority. Unauthorized reproduction or distribution is prohibited under Egyptian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Egypt Alexandria</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