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Professional Services Procurement — Financial Analyst Engagement</w:t>
      </w:r>
    </w:p>
    <w:p>
      <w:pPr>
        <w:pStyle w:val="BodyText"/>
      </w:pPr>
      <w:r>
        <w:t xml:space="preserve">PO No.: EGY-CAI-FA-2025-0047</w:t>
      </w:r>
    </w:p>
    <w:p>
      <w:pPr>
        <w:pStyle w:val="BodyText"/>
      </w:pPr>
      <w:r>
        <w:t xml:space="preserve">Date of Issue: 15 June 2025</w:t>
      </w:r>
    </w:p>
    <w:p>
      <w:pPr>
        <w:pStyle w:val="BodyText"/>
      </w:pPr>
      <w:r>
        <w:t xml:space="preserve">Valid Until: 15 September 2025</w:t>
      </w:r>
    </w:p>
    <w:bookmarkEnd w:id="20"/>
    <w:bookmarkStart w:id="21" w:name="buyer-requiring-department"/>
    <w:p>
      <w:pPr>
        <w:pStyle w:val="Heading3"/>
      </w:pPr>
      <w:r>
        <w:t xml:space="preserve">BUYER / REQUIRING DEPARTMENT</w:t>
      </w:r>
    </w:p>
    <w:p>
      <w:pPr>
        <w:pStyle w:val="FirstParagraph"/>
      </w:pPr>
      <w:r>
        <w:rPr>
          <w:bCs/>
          <w:b/>
        </w:rPr>
        <w:t xml:space="preserve">Company:</w:t>
      </w:r>
      <w:r>
        <w:t xml:space="preserve"> </w:t>
      </w:r>
      <w:r>
        <w:t xml:space="preserve">Nile Delta Corporate Holdings S.A.E.</w:t>
      </w:r>
    </w:p>
    <w:p>
      <w:pPr>
        <w:pStyle w:val="BodyText"/>
      </w:pPr>
      <w:r>
        <w:rPr>
          <w:bCs/>
          <w:b/>
        </w:rPr>
        <w:t xml:space="preserve">Department:</w:t>
      </w:r>
      <w:r>
        <w:t xml:space="preserve"> </w:t>
      </w:r>
      <w:r>
        <w:t xml:space="preserve">Finance &amp; Strategic Planning Division</w:t>
      </w:r>
    </w:p>
    <w:p>
      <w:pPr>
        <w:pStyle w:val="BodyText"/>
      </w:pPr>
      <w:r>
        <w:rPr>
          <w:bCs/>
          <w:b/>
        </w:rPr>
        <w:t xml:space="preserve">Address:</w:t>
      </w:r>
      <w:r>
        <w:t xml:space="preserve"> </w:t>
      </w:r>
      <w:r>
        <w:t xml:space="preserve">42 Corniche El Nil, Downtown District, Egypt Cairo, 11511</w:t>
      </w:r>
    </w:p>
    <w:p>
      <w:pPr>
        <w:pStyle w:val="BodyText"/>
      </w:pPr>
      <w:r>
        <w:rPr>
          <w:bCs/>
          <w:b/>
        </w:rPr>
        <w:t xml:space="preserve">Contact Person:</w:t>
      </w:r>
      <w:r>
        <w:t xml:space="preserve"> </w:t>
      </w:r>
      <w:r>
        <w:t xml:space="preserve">Mr. Ahmed Hassan, Director of Finance</w:t>
      </w:r>
    </w:p>
    <w:p>
      <w:pPr>
        <w:pStyle w:val="BodyText"/>
      </w:pPr>
      <w:r>
        <w:rPr>
          <w:bCs/>
          <w:b/>
        </w:rPr>
        <w:t xml:space="preserve">Email:</w:t>
      </w:r>
      <w:r>
        <w:t xml:space="preserve"> </w:t>
      </w:r>
      <w:r>
        <w:t xml:space="preserve">a.hassan@niledelta-holdings.com.eg</w:t>
      </w:r>
    </w:p>
    <w:p>
      <w:pPr>
        <w:pStyle w:val="BodyText"/>
      </w:pPr>
      <w:r>
        <w:rPr>
          <w:bCs/>
          <w:b/>
        </w:rPr>
        <w:t xml:space="preserve">Phone:</w:t>
      </w:r>
      <w:r>
        <w:t xml:space="preserve"> </w:t>
      </w:r>
      <w:r>
        <w:t xml:space="preserve">+20 2 2578 4410</w:t>
      </w:r>
    </w:p>
    <w:p>
      <w:pPr>
        <w:pStyle w:val="BodyText"/>
      </w:pPr>
      <w:r>
        <w:rPr>
          <w:bCs/>
          <w:b/>
        </w:rPr>
        <w:t xml:space="preserve">Tax Registration No.:</w:t>
      </w:r>
      <w:r>
        <w:t xml:space="preserve"> </w:t>
      </w:r>
      <w:r>
        <w:t xml:space="preserve">552-881-334-770</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Cairo Financial Advisory &amp; Analytics LLC</w:t>
      </w:r>
    </w:p>
    <w:p>
      <w:pPr>
        <w:pStyle w:val="BodyText"/>
      </w:pPr>
      <w:r>
        <w:rPr>
          <w:bCs/>
          <w:b/>
        </w:rPr>
        <w:t xml:space="preserve">Address:</w:t>
      </w:r>
      <w:r>
        <w:t xml:space="preserve"> </w:t>
      </w:r>
      <w:r>
        <w:t xml:space="preserve">18 Tahrir Square, Midan El Tahrir, Egypt Cairo, 11411</w:t>
      </w:r>
    </w:p>
    <w:p>
      <w:pPr>
        <w:pStyle w:val="BodyText"/>
      </w:pPr>
      <w:r>
        <w:rPr>
          <w:bCs/>
          <w:b/>
        </w:rPr>
        <w:t xml:space="preserve">Contact Person:</w:t>
      </w:r>
      <w:r>
        <w:t xml:space="preserve"> </w:t>
      </w:r>
      <w:r>
        <w:t xml:space="preserve">Ms. Layla Mostafa, Managing Partner</w:t>
      </w:r>
    </w:p>
    <w:p>
      <w:pPr>
        <w:pStyle w:val="BodyText"/>
      </w:pPr>
      <w:r>
        <w:rPr>
          <w:bCs/>
          <w:b/>
        </w:rPr>
        <w:t xml:space="preserve">Email:</w:t>
      </w:r>
      <w:r>
        <w:t xml:space="preserve"> </w:t>
      </w:r>
      <w:r>
        <w:t xml:space="preserve">l.mostafa@cairofaa.com.eg</w:t>
      </w:r>
    </w:p>
    <w:p>
      <w:pPr>
        <w:pStyle w:val="BodyText"/>
      </w:pPr>
      <w:r>
        <w:rPr>
          <w:bCs/>
          <w:b/>
        </w:rPr>
        <w:t xml:space="preserve">Phone:</w:t>
      </w:r>
      <w:r>
        <w:t xml:space="preserve"> </w:t>
      </w:r>
      <w:r>
        <w:t xml:space="preserve">+20 2 2394 7722</w:t>
      </w:r>
    </w:p>
    <w:p>
      <w:pPr>
        <w:pStyle w:val="BodyText"/>
      </w:pPr>
      <w:r>
        <w:rPr>
          <w:bCs/>
          <w:b/>
        </w:rPr>
        <w:t xml:space="preserve">Commercial Registration No.:</w:t>
      </w:r>
      <w:r>
        <w:t xml:space="preserve"> </w:t>
      </w:r>
      <w:r>
        <w:t xml:space="preserve">CR-114-2019-008832</w:t>
      </w:r>
    </w:p>
    <w:p>
      <w:pPr>
        <w:pStyle w:val="BodyText"/>
      </w:pPr>
      <w:r>
        <w:rPr>
          <w:bCs/>
          <w:b/>
        </w:rPr>
        <w:t xml:space="preserve">VAT No.:</w:t>
      </w:r>
      <w:r>
        <w:t xml:space="preserve"> </w:t>
      </w:r>
      <w:r>
        <w:t xml:space="preserve">552-993-221-445</w:t>
      </w:r>
    </w:p>
    <w:bookmarkEnd w:id="22"/>
    <w:bookmarkStart w:id="23" w:name="X37ea7fc3ccdb9249fae5bd38bad30edd96a901e"/>
    <w:p>
      <w:pPr>
        <w:pStyle w:val="Heading2"/>
      </w:pPr>
      <w:r>
        <w:t xml:space="preserve">1. DESCRIPTION OF SERVICES — FINANCIAL ANALYST ENGAGEMENT</w:t>
      </w:r>
    </w:p>
    <w:p>
      <w:pPr>
        <w:pStyle w:val="FirstParagraph"/>
      </w:pPr>
      <w:r>
        <w:t xml:space="preserve">This</w:t>
      </w:r>
      <w:r>
        <w:t xml:space="preserve"> </w:t>
      </w:r>
      <w:r>
        <w:rPr>
          <w:bCs/>
          <w:b/>
        </w:rPr>
        <w:t xml:space="preserve">Purchase Order</w:t>
      </w:r>
      <w:r>
        <w:t xml:space="preserve"> </w:t>
      </w:r>
      <w:r>
        <w:t xml:space="preserve">is issued by Nile Delta Corporate Holdings S.A.E. to formally procure the professional services of a qualified</w:t>
      </w:r>
      <w:r>
        <w:t xml:space="preserve"> </w:t>
      </w:r>
      <w:r>
        <w:rPr>
          <w:bCs/>
          <w:b/>
        </w:rPr>
        <w:t xml:space="preserve">Financial Analyst</w:t>
      </w:r>
      <w:r>
        <w:t xml:space="preserve"> </w:t>
      </w:r>
      <w:r>
        <w:t xml:space="preserve">to be deployed and operated within the Egypt Cairo metropolitan area. The engagement is structured to support the Buyer's quarterly financial reporting, budget forecasting, variance analysis, and strategic investment evaluation activities. The Financial Analyst shall report directly to the Director of Finance and shall conduct all duties from the Buyer's principal office located in Egypt Cairo, with the option of hybrid remote work not exceeding two (2) days per week.</w:t>
      </w:r>
    </w:p>
    <w:bookmarkEnd w:id="23"/>
    <w:bookmarkStart w:id="24" w:name="scope-of-work"/>
    <w:p>
      <w:pPr>
        <w:pStyle w:val="Heading2"/>
      </w:pPr>
      <w:r>
        <w:t xml:space="preserve">2. SCOPE OF WORK</w:t>
      </w:r>
    </w:p>
    <w:p>
      <w:pPr>
        <w:pStyle w:val="FirstParagraph"/>
      </w:pPr>
      <w:r>
        <w:t xml:space="preserve">The Financial Analyst engaged under this Purchase Order shall perform the following duties and deliverables throughout the contract period in Egypt Cairo: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Frequency</w:t>
            </w:r>
          </w:p>
        </w:tc>
        <w:tc>
          <w:tcPr/>
          <w:p>
            <w:pPr>
              <w:pStyle w:val="Compact"/>
              <w:jc w:val="left"/>
            </w:pPr>
            <w:r>
              <w:t xml:space="preserve">Location</w:t>
            </w:r>
          </w:p>
        </w:tc>
        <w:tc>
          <w:tcPr/>
          <w:p>
            <w:pPr>
              <w:pStyle w:val="Compact"/>
              <w:jc w:val="left"/>
            </w:pPr>
            <w:r>
              <w:t xml:space="preserve">Estimated Hours</w:t>
            </w:r>
          </w:p>
        </w:tc>
      </w:tr>
      <w:tr>
        <w:tc>
          <w:tcPr/>
          <w:p>
            <w:pPr>
              <w:pStyle w:val="Compact"/>
              <w:jc w:val="left"/>
            </w:pPr>
            <w:r>
              <w:t xml:space="preserve">1</w:t>
            </w:r>
          </w:p>
        </w:tc>
        <w:tc>
          <w:tcPr/>
          <w:p>
            <w:pPr>
              <w:pStyle w:val="Compact"/>
              <w:jc w:val="left"/>
            </w:pPr>
            <w:r>
              <w:t xml:space="preserve">Preparation of monthly financial statements, P&amp;L analysis, and cash flow projections for all operating subsidiaries in Egypt Cairo</w:t>
            </w:r>
          </w:p>
        </w:tc>
        <w:tc>
          <w:tcPr/>
          <w:p>
            <w:pPr>
              <w:pStyle w:val="Compact"/>
              <w:jc w:val="left"/>
            </w:pPr>
            <w:r>
              <w:t xml:space="preserve">Monthly</w:t>
            </w:r>
          </w:p>
        </w:tc>
        <w:tc>
          <w:tcPr/>
          <w:p>
            <w:pPr>
              <w:pStyle w:val="Compact"/>
              <w:jc w:val="left"/>
            </w:pPr>
            <w:r>
              <w:t xml:space="preserve">Egypt Cairo HQ</w:t>
            </w:r>
          </w:p>
        </w:tc>
        <w:tc>
          <w:tcPr/>
          <w:p>
            <w:pPr>
              <w:pStyle w:val="Compact"/>
              <w:jc w:val="left"/>
            </w:pPr>
            <w:r>
              <w:t xml:space="preserve">80 hrs / month</w:t>
            </w:r>
          </w:p>
        </w:tc>
      </w:tr>
      <w:tr>
        <w:tc>
          <w:tcPr/>
          <w:p>
            <w:pPr>
              <w:pStyle w:val="Compact"/>
              <w:jc w:val="left"/>
            </w:pPr>
            <w:r>
              <w:t xml:space="preserve">2</w:t>
            </w:r>
          </w:p>
        </w:tc>
        <w:tc>
          <w:tcPr/>
          <w:p>
            <w:pPr>
              <w:pStyle w:val="Compact"/>
              <w:jc w:val="left"/>
            </w:pPr>
            <w:r>
              <w:t xml:space="preserve">Development and maintenance of annual budget models and rolling 12-month forecasts</w:t>
            </w:r>
          </w:p>
        </w:tc>
        <w:tc>
          <w:tcPr/>
          <w:p>
            <w:pPr>
              <w:pStyle w:val="Compact"/>
              <w:jc w:val="left"/>
            </w:pPr>
            <w:r>
              <w:t xml:space="preserve">Quarterly</w:t>
            </w:r>
          </w:p>
        </w:tc>
        <w:tc>
          <w:tcPr/>
          <w:p>
            <w:pPr>
              <w:pStyle w:val="Compact"/>
              <w:jc w:val="left"/>
            </w:pPr>
            <w:r>
              <w:t xml:space="preserve">Egypt Cairo HQ</w:t>
            </w:r>
          </w:p>
        </w:tc>
        <w:tc>
          <w:tcPr/>
          <w:p>
            <w:pPr>
              <w:pStyle w:val="Compact"/>
              <w:jc w:val="left"/>
            </w:pPr>
            <w:r>
              <w:t xml:space="preserve">60 hrs / quarter</w:t>
            </w:r>
          </w:p>
        </w:tc>
      </w:tr>
      <w:tr>
        <w:tc>
          <w:tcPr/>
          <w:p>
            <w:pPr>
              <w:pStyle w:val="Compact"/>
              <w:jc w:val="left"/>
            </w:pPr>
            <w:r>
              <w:t xml:space="preserve">3</w:t>
            </w:r>
          </w:p>
        </w:tc>
        <w:tc>
          <w:tcPr/>
          <w:p>
            <w:pPr>
              <w:pStyle w:val="Compact"/>
              <w:jc w:val="left"/>
            </w:pPr>
            <w:r>
              <w:t xml:space="preserve">Investment appraisal, NPV/IRR modeling, and capital expenditure recommendation reports</w:t>
            </w:r>
          </w:p>
        </w:tc>
        <w:tc>
          <w:tcPr/>
          <w:p>
            <w:pPr>
              <w:pStyle w:val="Compact"/>
              <w:jc w:val="left"/>
            </w:pPr>
            <w:r>
              <w:t xml:space="preserve">As required</w:t>
            </w:r>
          </w:p>
        </w:tc>
        <w:tc>
          <w:tcPr/>
          <w:p>
            <w:pPr>
              <w:pStyle w:val="Compact"/>
              <w:jc w:val="left"/>
            </w:pPr>
            <w:r>
              <w:t xml:space="preserve">Egypt Cairo HQ</w:t>
            </w:r>
          </w:p>
        </w:tc>
        <w:tc>
          <w:tcPr/>
          <w:p>
            <w:pPr>
              <w:pStyle w:val="Compact"/>
              <w:jc w:val="left"/>
            </w:pPr>
            <w:r>
              <w:t xml:space="preserve">40 hrs / quarter</w:t>
            </w:r>
          </w:p>
        </w:tc>
      </w:tr>
      <w:tr>
        <w:tc>
          <w:tcPr/>
          <w:p>
            <w:pPr>
              <w:pStyle w:val="Compact"/>
              <w:jc w:val="left"/>
            </w:pPr>
            <w:r>
              <w:t xml:space="preserve">4</w:t>
            </w:r>
          </w:p>
        </w:tc>
        <w:tc>
          <w:tcPr/>
          <w:p>
            <w:pPr>
              <w:pStyle w:val="Compact"/>
              <w:jc w:val="left"/>
            </w:pPr>
            <w:r>
              <w:t xml:space="preserve">Regulatory compliance reporting aligned with Egyptian Central Bank and Egyptian Financial Regulatory Authority (FRA) requirements</w:t>
            </w:r>
          </w:p>
        </w:tc>
        <w:tc>
          <w:tcPr/>
          <w:p>
            <w:pPr>
              <w:pStyle w:val="Compact"/>
              <w:jc w:val="left"/>
            </w:pPr>
            <w:r>
              <w:t xml:space="preserve">Monthly</w:t>
            </w:r>
          </w:p>
        </w:tc>
        <w:tc>
          <w:tcPr/>
          <w:p>
            <w:pPr>
              <w:pStyle w:val="Compact"/>
              <w:jc w:val="left"/>
            </w:pPr>
            <w:r>
              <w:t xml:space="preserve">Egypt Cairo HQ</w:t>
            </w:r>
          </w:p>
        </w:tc>
        <w:tc>
          <w:tcPr/>
          <w:p>
            <w:pPr>
              <w:pStyle w:val="Compact"/>
              <w:jc w:val="left"/>
            </w:pPr>
            <w:r>
              <w:t xml:space="preserve">30 hrs / month</w:t>
            </w:r>
          </w:p>
        </w:tc>
      </w:tr>
      <w:tr>
        <w:tc>
          <w:tcPr/>
          <w:p>
            <w:pPr>
              <w:pStyle w:val="Compact"/>
              <w:jc w:val="left"/>
            </w:pPr>
            <w:r>
              <w:t xml:space="preserve">5</w:t>
            </w:r>
          </w:p>
        </w:tc>
        <w:tc>
          <w:tcPr/>
          <w:p>
            <w:pPr>
              <w:pStyle w:val="Compact"/>
              <w:jc w:val="left"/>
            </w:pPr>
            <w:r>
              <w:t xml:space="preserve">Ad-hoc financial modeling, sensitivity analysis, and executive presentation support</w:t>
            </w:r>
          </w:p>
        </w:tc>
        <w:tc>
          <w:tcPr/>
          <w:p>
            <w:pPr>
              <w:pStyle w:val="Compact"/>
              <w:jc w:val="left"/>
            </w:pPr>
            <w:r>
              <w:t xml:space="preserve">As required</w:t>
            </w:r>
          </w:p>
        </w:tc>
        <w:tc>
          <w:tcPr/>
          <w:p>
            <w:pPr>
              <w:pStyle w:val="Compact"/>
              <w:jc w:val="left"/>
            </w:pPr>
            <w:r>
              <w:t xml:space="preserve">Egypt Cairo HQ</w:t>
            </w:r>
          </w:p>
        </w:tc>
        <w:tc>
          <w:tcPr/>
          <w:p>
            <w:pPr>
              <w:pStyle w:val="Compact"/>
              <w:jc w:val="left"/>
            </w:pPr>
            <w:r>
              <w:t xml:space="preserve">20 hrs / month</w:t>
            </w:r>
          </w:p>
        </w:tc>
      </w:tr>
    </w:tbl>
    <w:bookmarkEnd w:id="24"/>
    <w:bookmarkStart w:id="25" w:name="financial-terms-payment-schedule"/>
    <w:p>
      <w:pPr>
        <w:pStyle w:val="Heading2"/>
      </w:pPr>
      <w:r>
        <w:t xml:space="preserve">3. FINANCIAL TERMS &amp;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 Rate (EGP)</w:t>
            </w:r>
          </w:p>
        </w:tc>
        <w:tc>
          <w:tcPr/>
          <w:p>
            <w:pPr>
              <w:pStyle w:val="Compact"/>
              <w:jc w:val="left"/>
            </w:pPr>
            <w:r>
              <w:t xml:space="preserve">Quantity</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Senior Financial Analyst monthly retainer (full-time, 160 hrs/month)</w:t>
            </w:r>
          </w:p>
        </w:tc>
        <w:tc>
          <w:tcPr/>
          <w:p>
            <w:pPr>
              <w:pStyle w:val="Compact"/>
              <w:jc w:val="left"/>
            </w:pPr>
            <w:r>
              <w:t xml:space="preserve">85,000.00</w:t>
            </w:r>
          </w:p>
        </w:tc>
        <w:tc>
          <w:tcPr/>
          <w:p>
            <w:pPr>
              <w:pStyle w:val="Compact"/>
              <w:jc w:val="left"/>
            </w:pPr>
            <w:r>
              <w:t xml:space="preserve">12 months</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Specialized financial modeling software license (annual)</w:t>
            </w:r>
          </w:p>
        </w:tc>
        <w:tc>
          <w:tcPr/>
          <w:p>
            <w:pPr>
              <w:pStyle w:val="Compact"/>
              <w:jc w:val="left"/>
            </w:pPr>
            <w:r>
              <w:t xml:space="preserve">42,000.00</w:t>
            </w:r>
          </w:p>
        </w:tc>
        <w:tc>
          <w:tcPr/>
          <w:p>
            <w:pPr>
              <w:pStyle w:val="Compact"/>
              <w:jc w:val="left"/>
            </w:pPr>
            <w:r>
              <w:t xml:space="preserve">1</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Onboarding, training, and Egypt Cairo office integration costs</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15,000.00</w:t>
            </w:r>
          </w:p>
        </w:tc>
      </w:tr>
      <w:tr>
        <w:tc>
          <w:tcPr/>
          <w:p>
            <w:pPr>
              <w:pStyle w:val="Compact"/>
              <w:jc w:val="left"/>
            </w:pPr>
            <w:r>
              <w:t xml:space="preserve">4</w:t>
            </w:r>
          </w:p>
        </w:tc>
        <w:tc>
          <w:tcPr/>
          <w:p>
            <w:pPr>
              <w:pStyle w:val="Compact"/>
              <w:jc w:val="left"/>
            </w:pPr>
            <w:r>
              <w:t xml:space="preserve">Contingency and overtime provision (estimated 10%)</w:t>
            </w:r>
          </w:p>
        </w:tc>
        <w:tc>
          <w:tcPr/>
          <w:p>
            <w:pPr>
              <w:pStyle w:val="Compact"/>
              <w:jc w:val="left"/>
            </w:pPr>
            <w:r>
              <w:t xml:space="preserve">107,700.00</w:t>
            </w:r>
          </w:p>
        </w:tc>
        <w:tc>
          <w:tcPr/>
          <w:p>
            <w:pPr>
              <w:pStyle w:val="Compact"/>
              <w:jc w:val="left"/>
            </w:pPr>
            <w:r>
              <w:t xml:space="preserve">1</w:t>
            </w:r>
          </w:p>
        </w:tc>
        <w:tc>
          <w:tcPr/>
          <w:p>
            <w:pPr>
              <w:pStyle w:val="Compact"/>
              <w:jc w:val="left"/>
            </w:pPr>
            <w:r>
              <w:t xml:space="preserve">107,700.00</w:t>
            </w:r>
          </w:p>
        </w:tc>
      </w:tr>
      <w:tr>
        <w:tc>
          <w:tcPr>
            <w:gridSpan w:val="4"/>
          </w:tcPr>
          <w:p>
            <w:pPr>
              <w:pStyle w:val="Compact"/>
              <w:jc w:val="left"/>
            </w:pPr>
            <w:r>
              <w:t xml:space="preserve">Subtotal</w:t>
            </w:r>
          </w:p>
        </w:tc>
        <w:tc>
          <w:tcPr/>
          <w:p>
            <w:pPr>
              <w:pStyle w:val="Compact"/>
              <w:jc w:val="left"/>
            </w:pPr>
            <w:r>
              <w:t xml:space="preserve">1,184,700.00</w:t>
            </w:r>
          </w:p>
        </w:tc>
      </w:tr>
      <w:tr>
        <w:tc>
          <w:tcPr>
            <w:gridSpan w:val="4"/>
          </w:tcPr>
          <w:p>
            <w:pPr>
              <w:pStyle w:val="Compact"/>
              <w:jc w:val="left"/>
            </w:pPr>
            <w:r>
              <w:t xml:space="preserve">VAT (14% — Egyptian Standard Rate)</w:t>
            </w:r>
          </w:p>
        </w:tc>
        <w:tc>
          <w:tcPr/>
          <w:p>
            <w:pPr>
              <w:pStyle w:val="Compact"/>
              <w:jc w:val="left"/>
            </w:pPr>
            <w:r>
              <w:t xml:space="preserve">165,858.00</w:t>
            </w:r>
          </w:p>
        </w:tc>
      </w:tr>
      <w:tr>
        <w:tc>
          <w:tcPr>
            <w:gridSpan w:val="4"/>
          </w:tcPr>
          <w:p>
            <w:pPr>
              <w:pStyle w:val="Compact"/>
              <w:jc w:val="left"/>
            </w:pPr>
            <w:r>
              <w:rPr>
                <w:bCs/>
                <w:b/>
              </w:rPr>
              <w:t xml:space="preserve">TOTAL AMOUNT DUE (EGP)</w:t>
            </w:r>
          </w:p>
        </w:tc>
        <w:tc>
          <w:tcPr/>
          <w:p>
            <w:pPr>
              <w:pStyle w:val="Compact"/>
              <w:jc w:val="left"/>
            </w:pPr>
            <w:r>
              <w:rPr>
                <w:bCs/>
                <w:b/>
              </w:rPr>
              <w:t xml:space="preserve">1,350,558.00</w:t>
            </w:r>
          </w:p>
        </w:tc>
      </w:tr>
    </w:tbl>
    <w:p>
      <w:pPr>
        <w:pStyle w:val="BodyText"/>
      </w:pPr>
      <w:r>
        <w:t xml:space="preserve">All payments shall be made in Egyptian Pounds (EGP) via bank transfer to the Supplier's designated account. Invoices are payable within thirty (30) calendar days of receipt. This Purchase Order is subject to the standard 14% Value Added Tax (VAT) as mandated by the Egyptian Tax Authority. No payment shall be released until the Financial Analyst has been formally onboarded and has commenced duties in Egypt Cairo.</w:t>
      </w:r>
    </w:p>
    <w:bookmarkEnd w:id="25"/>
    <w:bookmarkStart w:id="26" w:name="contract-duration-commencement"/>
    <w:p>
      <w:pPr>
        <w:pStyle w:val="Heading2"/>
      </w:pPr>
      <w:r>
        <w:t xml:space="preserve">4. CONTRACT DURATION &amp; COMMENCEMENT</w:t>
      </w:r>
    </w:p>
    <w:p>
      <w:pPr>
        <w:pStyle w:val="FirstParagraph"/>
      </w:pPr>
      <w:r>
        <w:t xml:space="preserve">The engagement period under this Purchase Order shall commence on</w:t>
      </w:r>
      <w:r>
        <w:t xml:space="preserve"> </w:t>
      </w:r>
      <w:r>
        <w:rPr>
          <w:bCs/>
          <w:b/>
        </w:rPr>
        <w:t xml:space="preserve">1 July 2025</w:t>
      </w:r>
      <w:r>
        <w:t xml:space="preserve"> </w:t>
      </w:r>
      <w:r>
        <w:t xml:space="preserve">and shall continue for a period of</w:t>
      </w:r>
      <w:r>
        <w:t xml:space="preserve"> </w:t>
      </w:r>
      <w:r>
        <w:rPr>
          <w:bCs/>
          <w:b/>
        </w:rPr>
        <w:t xml:space="preserve">twelve (12) months</w:t>
      </w:r>
      <w:r>
        <w:t xml:space="preserve">, concluding on</w:t>
      </w:r>
      <w:r>
        <w:t xml:space="preserve"> </w:t>
      </w:r>
      <w:r>
        <w:rPr>
          <w:bCs/>
          <w:b/>
        </w:rPr>
        <w:t xml:space="preserve">30 June 2026</w:t>
      </w:r>
      <w:r>
        <w:t xml:space="preserve">, unless terminated earlier in accordance with the terms herein. The Financial Analyst must be physically present and operational in Egypt Cairo no later than the commencement date. A renewal option for an additional six (6) months may be exercised by mutual written agreement no fewer than sixty (60) days prior to expiration.</w:t>
      </w:r>
    </w:p>
    <w:bookmarkEnd w:id="26"/>
    <w:bookmarkStart w:id="27"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the Buyer and the Supplier upon signature by both authorized representatives. All services shall be rendered in accordance with Egyptian labor law, the Egyptian Companies Law No. 159 of 1981 (as amended), and applicable financial regulations in Egypt Cairo.</w:t>
      </w:r>
    </w:p>
    <w:p>
      <w:pPr>
        <w:pStyle w:val="BodyText"/>
      </w:pPr>
      <w:r>
        <w:rPr>
          <w:bCs/>
          <w:b/>
        </w:rPr>
        <w:t xml:space="preserve">5.2</w:t>
      </w:r>
      <w:r>
        <w:t xml:space="preserve"> </w:t>
      </w:r>
      <w:r>
        <w:t xml:space="preserve">The Supplier warrants that the Financial Analyst assigned to this Purchase Order shall hold a minimum of a Bachelor's degree in Finance, Accounting, or a related quantitative discipline, possess at least five (5) years of progressive experience in financial analysis, and hold a valid CFA or CPA designation. The analyst must be legally authorized to work in Egypt Cairo.</w:t>
      </w:r>
    </w:p>
    <w:p>
      <w:pPr>
        <w:pStyle w:val="BodyText"/>
      </w:pPr>
      <w:r>
        <w:rPr>
          <w:bCs/>
          <w:b/>
        </w:rPr>
        <w:t xml:space="preserve">5.3</w:t>
      </w:r>
      <w:r>
        <w:t xml:space="preserve"> </w:t>
      </w:r>
      <w:r>
        <w:t xml:space="preserve">The Supplier shall maintain full professional indemnity and liability insurance coverage throughout the term of this Purchase Order. Certificates of insurance shall be provided to the Buyer upon request.</w:t>
      </w:r>
    </w:p>
    <w:p>
      <w:pPr>
        <w:pStyle w:val="BodyText"/>
      </w:pPr>
      <w:r>
        <w:rPr>
          <w:bCs/>
          <w:b/>
        </w:rPr>
        <w:t xml:space="preserve">5.4</w:t>
      </w:r>
      <w:r>
        <w:t xml:space="preserve"> </w:t>
      </w:r>
      <w:r>
        <w:t xml:space="preserve">All financial data, proprietary models, and confidential information accessed by the Financial Analyst in the course of this engagement in Egypt Cairo shall be treated as strictly confidential. A Non-Disclosure Agreement (NDA) shall be executed prior to the commencement date.</w:t>
      </w:r>
    </w:p>
    <w:p>
      <w:pPr>
        <w:pStyle w:val="BodyText"/>
      </w:pPr>
      <w:r>
        <w:rPr>
          <w:bCs/>
          <w:b/>
        </w:rPr>
        <w:t xml:space="preserve">5.5</w:t>
      </w:r>
      <w:r>
        <w:t xml:space="preserve"> </w:t>
      </w:r>
      <w:r>
        <w:t xml:space="preserve">Either party may terminate this Purchase Order with thirty (30) days' written notice in the event of material breach. In the event of termination, the Buyer shall be liable only for services rendered up to the effective date of termination.</w:t>
      </w:r>
    </w:p>
    <w:p>
      <w:pPr>
        <w:pStyle w:val="BodyText"/>
      </w:pPr>
      <w:r>
        <w:rPr>
          <w:bCs/>
          <w:b/>
        </w:rPr>
        <w:t xml:space="preserve">5.6</w:t>
      </w:r>
      <w:r>
        <w:t xml:space="preserve"> </w:t>
      </w:r>
      <w:r>
        <w:t xml:space="preserve">Disputes arising from this Purchase Order shall be resolved through amicable negotiation. Failing resolution within thirty (30) days, the matter shall be referred to arbitration in accordance with the rules of the Egyptian Arbitration Center, with the seat of arbitration in Egypt Cairo.</w:t>
      </w:r>
    </w:p>
    <w:p>
      <w:pPr>
        <w:pStyle w:val="BodyText"/>
      </w:pPr>
      <w:r>
        <w:rPr>
          <w:bCs/>
          <w:b/>
        </w:rPr>
        <w:t xml:space="preserve">5.7</w:t>
      </w:r>
      <w:r>
        <w:t xml:space="preserve"> </w:t>
      </w:r>
      <w:r>
        <w:t xml:space="preserve">This Purchase Order is governed by and shall be construed in accordance with the laws of the Arab Republic of Egypt.</w:t>
      </w:r>
    </w:p>
    <w:bookmarkEnd w:id="27"/>
    <w:bookmarkStart w:id="28" w:name="authorization-signatures"/>
    <w:p>
      <w:pPr>
        <w:pStyle w:val="Heading2"/>
      </w:pPr>
      <w:r>
        <w:t xml:space="preserve">6. AUTHORIZATION &amp; SIGNATURES</w:t>
      </w:r>
    </w:p>
    <w:p>
      <w:pPr>
        <w:pStyle w:val="FirstParagraph"/>
      </w:pPr>
      <w:r>
        <w:rPr>
          <w:bCs/>
          <w:b/>
        </w:rPr>
        <w:t xml:space="preserve">FOR THE BUYER</w:t>
      </w:r>
    </w:p>
    <w:p>
      <w:pPr>
        <w:pStyle w:val="BodyText"/>
      </w:pPr>
      <w:r>
        <w:t xml:space="preserve">Nile Delta Corporate Holdings S.A.E.</w:t>
      </w:r>
    </w:p>
    <w:p>
      <w:pPr>
        <w:pStyle w:val="BodyText"/>
      </w:pPr>
      <w:r>
        <w:t xml:space="preserve">Mr. Ahmed Hassan</w:t>
      </w:r>
    </w:p>
    <w:p>
      <w:pPr>
        <w:pStyle w:val="BodyText"/>
      </w:pPr>
      <w:r>
        <w:t xml:space="preserve">Director of Finance</w:t>
      </w:r>
    </w:p>
    <w:p>
      <w:pPr>
        <w:pStyle w:val="BodyText"/>
      </w:pPr>
      <w:r>
        <w:t xml:space="preserve">Date: _______________</w:t>
      </w:r>
    </w:p>
    <w:p>
      <w:pPr>
        <w:pStyle w:val="BodyText"/>
      </w:pPr>
      <w:r>
        <w:rPr>
          <w:bCs/>
          <w:b/>
        </w:rPr>
        <w:t xml:space="preserve">FOR THE SUPPLIER</w:t>
      </w:r>
    </w:p>
    <w:p>
      <w:pPr>
        <w:pStyle w:val="BodyText"/>
      </w:pPr>
      <w:r>
        <w:t xml:space="preserve">Cairo Financial Advisory &amp; Analytics LLC</w:t>
      </w:r>
    </w:p>
    <w:p>
      <w:pPr>
        <w:pStyle w:val="BodyText"/>
      </w:pPr>
      <w:r>
        <w:t xml:space="preserve">Ms. Layla Mostafa</w:t>
      </w:r>
    </w:p>
    <w:p>
      <w:pPr>
        <w:pStyle w:val="BodyText"/>
      </w:pPr>
      <w:r>
        <w:t xml:space="preserve">Managing Partner</w:t>
      </w:r>
    </w:p>
    <w:p>
      <w:pPr>
        <w:pStyle w:val="BodyText"/>
      </w:pPr>
      <w:r>
        <w:t xml:space="preserve">Date: _______________</w:t>
      </w:r>
    </w:p>
    <w:p>
      <w:pPr>
        <w:pStyle w:val="BodyText"/>
      </w:pPr>
      <w:r>
        <w:t xml:space="preserve">This Purchase Order (PO No. EGY-CAI-FA-2025-0047) is issued for the procurement of Financial Analyst professional services in Egypt Cairo. This document is valid only when signed and stamped by both parties. Unauthorized reproduction or distribution is prohibited. © 2025 Nile Delta Corporate Holdings S.A.E. — Egypt Cairo.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Egypt Cairo</dc:title>
  <dc:creator/>
  <dc:language>en</dc:language>
  <cp:keywords/>
  <dcterms:created xsi:type="dcterms:W3CDTF">2026-10-10T07:20:30Z</dcterms:created>
  <dcterms:modified xsi:type="dcterms:W3CDTF">2026-10-10T07:20:30Z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