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Engagement of Professional Financial Analyst Services — Germany Berlin</w:t>
      </w:r>
    </w:p>
    <w:bookmarkEnd w:id="20"/>
    <w:bookmarkStart w:id="21" w:name="issuing-company-buyer"/>
    <w:p>
      <w:pPr>
        <w:pStyle w:val="Heading3"/>
      </w:pPr>
      <w:r>
        <w:t xml:space="preserve">Issuing Company (Buyer)</w:t>
      </w:r>
    </w:p>
    <w:p>
      <w:pPr>
        <w:pStyle w:val="FirstParagraph"/>
      </w:pPr>
      <w:r>
        <w:rPr>
          <w:bCs/>
          <w:b/>
        </w:rPr>
        <w:t xml:space="preserve">Meridian Capital Advisory GmbH</w:t>
      </w:r>
    </w:p>
    <w:p>
      <w:pPr>
        <w:pStyle w:val="BodyText"/>
      </w:pPr>
      <w:r>
        <w:t xml:space="preserve">Unter den Linden 42, 10117 Berlin</w:t>
      </w:r>
    </w:p>
    <w:p>
      <w:pPr>
        <w:pStyle w:val="BodyText"/>
      </w:pPr>
      <w:r>
        <w:t xml:space="preserve">Germany</w:t>
      </w:r>
    </w:p>
    <w:p>
      <w:pPr>
        <w:pStyle w:val="BodyText"/>
      </w:pPr>
      <w:r>
        <w:t xml:space="preserve">USt-IdNr.: DE 312 456 789</w:t>
      </w:r>
    </w:p>
    <w:p>
      <w:pPr>
        <w:pStyle w:val="BodyText"/>
      </w:pPr>
      <w:r>
        <w:t xml:space="preserve">HRB 123456 B, Amtsgericht Charlottenburg</w:t>
      </w:r>
    </w:p>
    <w:p>
      <w:pPr>
        <w:pStyle w:val="BodyText"/>
      </w:pPr>
      <w:r>
        <w:t xml:space="preserve">Contact: procurement@meridian-capital.de</w:t>
      </w:r>
    </w:p>
    <w:bookmarkEnd w:id="21"/>
    <w:bookmarkStart w:id="22" w:name="service-provider-vendor"/>
    <w:p>
      <w:pPr>
        <w:pStyle w:val="Heading3"/>
      </w:pPr>
      <w:r>
        <w:t xml:space="preserve">Service Provider (Vendor)</w:t>
      </w:r>
    </w:p>
    <w:p>
      <w:pPr>
        <w:pStyle w:val="FirstParagraph"/>
      </w:pPr>
      <w:r>
        <w:rPr>
          <w:bCs/>
          <w:b/>
        </w:rPr>
        <w:t xml:space="preserve">Apex Financial Consulting UG (haftungsbeschränkt)</w:t>
      </w:r>
    </w:p>
    <w:p>
      <w:pPr>
        <w:pStyle w:val="BodyText"/>
      </w:pPr>
      <w:r>
        <w:t xml:space="preserve">Friedrichstraße 185, 10117 Berlin</w:t>
      </w:r>
    </w:p>
    <w:p>
      <w:pPr>
        <w:pStyle w:val="BodyText"/>
      </w:pPr>
      <w:r>
        <w:t xml:space="preserve">Germany</w:t>
      </w:r>
    </w:p>
    <w:p>
      <w:pPr>
        <w:pStyle w:val="BodyText"/>
      </w:pPr>
      <w:r>
        <w:t xml:space="preserve">USt-IdNr.: DE 298 765 432</w:t>
      </w:r>
    </w:p>
    <w:p>
      <w:pPr>
        <w:pStyle w:val="BodyText"/>
      </w:pPr>
      <w:r>
        <w:t xml:space="preserve">HRG 78901, Amtsgericht Charlottenburg</w:t>
      </w:r>
    </w:p>
    <w:p>
      <w:pPr>
        <w:pStyle w:val="BodyText"/>
      </w:pPr>
      <w:r>
        <w:t xml:space="preserve">Contact: contracts@apex-financial.de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PO-2025-BER-00472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 by mutual written agreement)</w:t>
            </w:r>
          </w:p>
        </w:tc>
      </w:tr>
      <w:tr>
        <w:tc>
          <w:tcPr/>
          <w:p>
            <w:pPr>
              <w:pStyle w:val="Compact"/>
              <w:jc w:val="left"/>
            </w:pPr>
            <w:r>
              <w:t xml:space="preserve">Place of Performance:</w:t>
            </w:r>
          </w:p>
        </w:tc>
        <w:tc>
          <w:tcPr/>
          <w:p>
            <w:pPr>
              <w:pStyle w:val="Compact"/>
              <w:jc w:val="left"/>
            </w:pPr>
            <w:r>
              <w:t xml:space="preserve">Berlin, Germany (primary office at Unter den Linden 42)</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Laws of the Federal Republic of Germany</w:t>
            </w:r>
          </w:p>
        </w:tc>
      </w:tr>
    </w:tbl>
    <w:bookmarkStart w:id="23" w:name="X37ea7fc3ccdb9249fae5bd38bad30edd96a901e"/>
    <w:p>
      <w:pPr>
        <w:pStyle w:val="Heading2"/>
      </w:pPr>
      <w:r>
        <w:t xml:space="preserve">1. Description of Services — Financial Analyst Engagement</w:t>
      </w:r>
    </w:p>
    <w:p>
      <w:pPr>
        <w:pStyle w:val="FirstParagraph"/>
      </w:pPr>
      <w:r>
        <w:t xml:space="preserve">This Purchase Order is issued by Meridian Capital Advisory GmbH (hereinafter referred to as the "Buyer") to formally request and authorize the engagement of a qualified</w:t>
      </w:r>
      <w:r>
        <w:t xml:space="preserve"> </w:t>
      </w:r>
      <w:r>
        <w:t xml:space="preserve">Financial Analyst</w:t>
      </w:r>
      <w:r>
        <w:t xml:space="preserve"> </w:t>
      </w:r>
      <w:r>
        <w:t xml:space="preserve">professional through Apex Financial Consulting UG (hereinafter referred to as the "Vendor") for the provision of specialized financial analysis, reporting, and advisory services. The</w:t>
      </w:r>
      <w:r>
        <w:t xml:space="preserve"> </w:t>
      </w:r>
      <w:r>
        <w:t xml:space="preserve">Financial Analyst</w:t>
      </w:r>
      <w:r>
        <w:t xml:space="preserve"> </w:t>
      </w:r>
      <w:r>
        <w:t xml:space="preserve">shall be based and perform all duties within the city of</w:t>
      </w:r>
      <w:r>
        <w:t xml:space="preserve"> </w:t>
      </w:r>
      <w:r>
        <w:t xml:space="preserve">Germany Berlin</w:t>
      </w:r>
      <w:r>
        <w:t xml:space="preserve">, specifically at the Buyer's headquarters located at Unter den Linden 42, 10117 Berlin. The scope of this Purchase Order encompasses the full professional engagement of the Financial Analyst, including but not limited to portfolio analysis, financial modeling, risk assessment, regulatory compliance reporting in accordance with German and European financial standards, and the preparation of quarterly and annual financial statements for internal and external stakeholders.</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retainer for senior Financial Analyst services (full-time, 40 hrs/week) based in Germany Berlin. Includes financial modeling, variance analysis, and investment portfolio evaluation.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Specialized regulatory compliance reporting under BaFin and EU MiFID II directives. The Financial Analyst shall prepare all mandatory filings and ensure full adherence to German financial reporting standards (HGB) and International Financial Reporting Standards (IFRS).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Quarterly strategic financial review and board presentation preparation. The Financial Analyst will deliver comprehensive performance dashboards, cash flow projections, and capital allocation recommendations to the management board in Berlin.</w:t>
            </w:r>
          </w:p>
        </w:tc>
        <w:tc>
          <w:tcPr/>
          <w:p>
            <w:pPr>
              <w:pStyle w:val="Compact"/>
              <w:jc w:val="left"/>
            </w:pPr>
            <w:r>
              <w:t xml:space="preserve">4 quarters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Ad-hoc financial advisory and market analysis support. Includes competitor benchmarking, M&amp;A due diligence financial workstreams, and ad-hoc investor relations data preparation as required by the Buyer's leadership team in Germany Berlin.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Software and tooling license allocation (Bloomberg Terminal, SAP Financial Analytics, Python data science stack) assigned exclusively to the Financial Analyst for the duration of this Purchase Order.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Subtotal (net)</w:t>
            </w:r>
          </w:p>
        </w:tc>
        <w:tc>
          <w:tcPr/>
          <w:p>
            <w:pPr>
              <w:pStyle w:val="Compact"/>
              <w:jc w:val="left"/>
            </w:pPr>
            <w:r>
              <w:t xml:space="preserve">178,400.00</w:t>
            </w:r>
          </w:p>
        </w:tc>
      </w:tr>
      <w:tr>
        <w:tc>
          <w:tcPr>
            <w:gridSpan w:val="4"/>
          </w:tcPr>
          <w:p>
            <w:pPr>
              <w:pStyle w:val="Compact"/>
              <w:jc w:val="left"/>
            </w:pPr>
            <w:r>
              <w:t xml:space="preserve">VAT (19% — German Umsatzsteuer)</w:t>
            </w:r>
          </w:p>
        </w:tc>
        <w:tc>
          <w:tcPr/>
          <w:p>
            <w:pPr>
              <w:pStyle w:val="Compact"/>
              <w:jc w:val="left"/>
            </w:pPr>
            <w:r>
              <w:t xml:space="preserve">33,896.00</w:t>
            </w:r>
          </w:p>
        </w:tc>
      </w:tr>
      <w:tr>
        <w:tc>
          <w:tcPr>
            <w:gridSpan w:val="4"/>
          </w:tcPr>
          <w:p>
            <w:pPr>
              <w:pStyle w:val="Compact"/>
              <w:jc w:val="left"/>
            </w:pPr>
            <w:r>
              <w:t xml:space="preserve">Grand Total (gross)</w:t>
            </w:r>
          </w:p>
        </w:tc>
        <w:tc>
          <w:tcPr/>
          <w:p>
            <w:pPr>
              <w:pStyle w:val="Compact"/>
              <w:jc w:val="left"/>
            </w:pPr>
            <w:r>
              <w:t xml:space="preserve">212,296.00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and Performance:</w:t>
      </w:r>
      <w:r>
        <w:t xml:space="preserve"> </w:t>
      </w:r>
      <w:r>
        <w:t xml:space="preserve">The Financial Analyst engaged under this Purchase Order shall perform all duties in accordance with the professional standards expected in the German financial services sector. All work shall be executed at the Buyer's premises in Germany Berlin or, with prior written approval, remotely from a verified location within the Berlin metropolitan area. The Financial Analyst must hold a minimum of five years of relevant experience in corporate finance, investment analysis, or a comparable discipline, and must possess fluency in both German and English to communicate effectively with all stakeholders.</w:t>
      </w:r>
    </w:p>
    <w:p>
      <w:pPr>
        <w:numPr>
          <w:ilvl w:val="0"/>
          <w:numId w:val="1001"/>
        </w:numPr>
        <w:pStyle w:val="Compact"/>
      </w:pPr>
      <w:r>
        <w:rPr>
          <w:bCs/>
          <w:b/>
        </w:rPr>
        <w:t xml:space="preserve">Payment Terms:</w:t>
      </w:r>
      <w:r>
        <w:t xml:space="preserve"> </w:t>
      </w:r>
      <w:r>
        <w:t xml:space="preserve">Invoices shall be submitted monthly in arrears by the 5th business day of the following month. Payment shall be made via SEPA bank transfer to the Vendor's designated account within thirty (30) calendar days of invoice receipt. Late payments shall accrue interest at the statutory rate pursuant to Section 288 of the German Civil Code (Bürgliches Gesetzbuch, BGB).</w:t>
      </w:r>
    </w:p>
    <w:p>
      <w:pPr>
        <w:numPr>
          <w:ilvl w:val="0"/>
          <w:numId w:val="1001"/>
        </w:numPr>
        <w:pStyle w:val="Compact"/>
      </w:pPr>
      <w:r>
        <w:rPr>
          <w:bCs/>
          <w:b/>
        </w:rPr>
        <w:t xml:space="preserve">Confidentiality and Data Protection:</w:t>
      </w:r>
      <w:r>
        <w:t xml:space="preserve"> </w:t>
      </w:r>
      <w:r>
        <w:t xml:space="preserve">The Financial Analyst shall be bound by strict confidentiality obligations in accordance with the German Federal Data Protection Act (Bundesdatenschutzgesetz, BDSG) and the General Data Protection Regulation (GDPR, EU 2016/679). All financial data, client information, and proprietary models accessed during the term of this Purchase Order shall remain the exclusive property of the Buyer. A separate Non-Disclosure Agreement (NDA) shall be executed prior to the commencement date.</w:t>
      </w:r>
    </w:p>
    <w:p>
      <w:pPr>
        <w:numPr>
          <w:ilvl w:val="0"/>
          <w:numId w:val="1001"/>
        </w:numPr>
        <w:pStyle w:val="Compact"/>
      </w:pPr>
      <w:r>
        <w:rPr>
          <w:bCs/>
          <w:b/>
        </w:rPr>
        <w:t xml:space="preserve">Compliance and Regulatory Adherence:</w:t>
      </w:r>
      <w:r>
        <w:t xml:space="preserve"> </w:t>
      </w:r>
      <w:r>
        <w:t xml:space="preserve">The Financial Analyst shall ensure that all analytical outputs, reports, and recommendations comply with the regulations of the Bundesanstalt für Finanzdienstleistungsaufsicht (BaFin), the European Securities and Markets Authority (ESMA), and all applicable provisions of the German Securities Trading Act (Wertpapierhandelsgesetz, WpHG). Any regulatory changes enacted during the contract term in Germany Berlin or the broader European jurisdiction shall be incorporated into the Financial Analyst's workflow within fifteen (15) business days of their effective date.</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with immediate effect upon written notice. Upon termination, the Financial Analyst shall return all company property, data, and access credentials within five (5) business days.</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by the competent courts of Berlin, Germany. The parties agree to attempt mediation through the Berlin Chamber of Commerce (IHK Berlin) before initiating formal litigation proceedings.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closures, or systemic financial market disruptions affecting operations in Germany Berlin.</w:t>
      </w:r>
    </w:p>
    <w:bookmarkEnd w:id="25"/>
    <w:bookmarkStart w:id="26" w:name="acceptance-and-authorization"/>
    <w:p>
      <w:pPr>
        <w:pStyle w:val="Heading2"/>
      </w:pPr>
      <w:r>
        <w:t xml:space="preserve">4. Acceptance and Authorization</w:t>
      </w:r>
    </w:p>
    <w:p>
      <w:pPr>
        <w:pStyle w:val="FirstParagraph"/>
      </w:pPr>
      <w:r>
        <w:t xml:space="preserve">This Purchase Order constitutes a binding request for the services described herein. The Vendor's written acceptance of this Purchase Order, including all terms, conditions, and pricing, shall be deemed a formal contract for the engagement of the Financial Analyst. No modifications to this Purchase Order shall be valid unless executed in writing and signed by authorized representatives of both parties.</w:t>
      </w:r>
    </w:p>
    <w:p>
      <w:pPr>
        <w:pStyle w:val="BodyText"/>
      </w:pPr>
      <w:r>
        <w:rPr>
          <w:bCs/>
          <w:b/>
        </w:rPr>
        <w:t xml:space="preserve">For and on behalf of Meridian Capital Advisory GmbH (Buyer)</w:t>
      </w:r>
    </w:p>
    <w:p>
      <w:pPr>
        <w:pStyle w:val="BodyText"/>
      </w:pPr>
      <w:r>
        <w:t xml:space="preserve">Name: Dr. Katharina Vogel</w:t>
      </w:r>
      <w:r>
        <w:br/>
      </w:r>
      <w:r>
        <w:t xml:space="preserve">Title: Chief Financial Officer</w:t>
      </w:r>
      <w:r>
        <w:br/>
      </w:r>
      <w:r>
        <w:t xml:space="preserve">Date: _________________________</w:t>
      </w:r>
    </w:p>
    <w:p>
      <w:pPr>
        <w:pStyle w:val="BodyText"/>
      </w:pPr>
      <w:r>
        <w:rPr>
          <w:bCs/>
          <w:b/>
        </w:rPr>
        <w:t xml:space="preserve">For and on behalf of Apex Financial Consulting UG (Vendor)</w:t>
      </w:r>
    </w:p>
    <w:p>
      <w:pPr>
        <w:pStyle w:val="BodyText"/>
      </w:pPr>
      <w:r>
        <w:t xml:space="preserve">Name: Markus Steinbach</w:t>
      </w:r>
      <w:r>
        <w:br/>
      </w:r>
      <w:r>
        <w:t xml:space="preserve">Title: Managing Director</w:t>
      </w:r>
      <w:r>
        <w:br/>
      </w:r>
      <w:r>
        <w:t xml:space="preserve">Date: _________________________</w:t>
      </w:r>
    </w:p>
    <w:p>
      <w:pPr>
        <w:pStyle w:val="BodyText"/>
      </w:pPr>
      <w:r>
        <w:t xml:space="preserve">Purchase Order PO-2025-BER-00472 | Meridian Capital Advisory GmbH | Berlin, Germany | Page 1 of 1</w:t>
      </w:r>
    </w:p>
    <w:p>
      <w:pPr>
        <w:pStyle w:val="BodyText"/>
      </w:pPr>
      <w:r>
        <w:t xml:space="preserve">This document is issued in accordance with German commercial law (Handelsgesetzbuch, HGB) and is valid only when signed by both parties. All references to "Germany Berlin" denote the city of Berlin within the Federal Republic of Germany as the exclusive place of performance.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Germany Berlin</dc:title>
  <dc:creator/>
  <dc:language>en</dc:language>
  <cp:keywords/>
  <dcterms:created xsi:type="dcterms:W3CDTF">2026-10-10T06:57:42Z</dcterms:created>
  <dcterms:modified xsi:type="dcterms:W3CDTF">2026-10-10T06:57:42Z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