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India</w:t>
      </w:r>
      <w:r>
        <w:t xml:space="preserve"> </w:t>
      </w:r>
      <w:r>
        <w:t xml:space="preserve">Bangalore</w:t>
      </w:r>
    </w:p>
    <w:bookmarkStart w:id="20" w:name="purchase-order"/>
    <w:p>
      <w:pPr>
        <w:pStyle w:val="Heading1"/>
      </w:pPr>
      <w:r>
        <w:t xml:space="preserve">PURCHASE ORDER</w:t>
      </w:r>
    </w:p>
    <w:p>
      <w:pPr>
        <w:pStyle w:val="FirstParagraph"/>
      </w:pPr>
      <w:r>
        <w:t xml:space="preserve">Procurement of Professional Services — Financial Analyst Engagement</w:t>
      </w:r>
    </w:p>
    <w:bookmarkEnd w:id="20"/>
    <w:bookmarkStart w:id="21" w:name="issuing-organization"/>
    <w:p>
      <w:pPr>
        <w:pStyle w:val="Heading3"/>
      </w:pPr>
      <w:r>
        <w:t xml:space="preserve">Issuing Organization</w:t>
      </w:r>
    </w:p>
    <w:p>
      <w:pPr>
        <w:pStyle w:val="FirstParagraph"/>
      </w:pPr>
      <w:r>
        <w:rPr>
          <w:bCs/>
          <w:b/>
        </w:rPr>
        <w:t xml:space="preserve">Meridian Capital Advisory Pvt. Ltd.</w:t>
      </w:r>
      <w:r>
        <w:br/>
      </w:r>
      <w:r>
        <w:t xml:space="preserve">12th Floor, Prestige Tech Park, Outer Ring Road,</w:t>
      </w:r>
      <w:r>
        <w:br/>
      </w:r>
      <w:r>
        <w:t xml:space="preserve">India Bangalore</w:t>
      </w:r>
      <w:r>
        <w:t xml:space="preserve"> </w:t>
      </w:r>
      <w:r>
        <w:t xml:space="preserve">– 560103</w:t>
      </w:r>
      <w:r>
        <w:br/>
      </w:r>
      <w:r>
        <w:t xml:space="preserve">Karnataka, India</w:t>
      </w:r>
      <w:r>
        <w:br/>
      </w:r>
      <w:r>
        <w:t xml:space="preserve">GSTIN: 29AABCM1234F1Z5</w:t>
      </w:r>
      <w:r>
        <w:br/>
      </w:r>
      <w:r>
        <w:t xml:space="preserve">Contact: procurement@meridiancapital.in</w:t>
      </w:r>
    </w:p>
    <w:bookmarkEnd w:id="21"/>
    <w:bookmarkStart w:id="22" w:name="vendor-service-provider"/>
    <w:p>
      <w:pPr>
        <w:pStyle w:val="Heading3"/>
      </w:pPr>
      <w:r>
        <w:t xml:space="preserve">Vendor / Service Provider</w:t>
      </w:r>
    </w:p>
    <w:p>
      <w:pPr>
        <w:pStyle w:val="FirstParagraph"/>
      </w:pPr>
      <w:r>
        <w:rPr>
          <w:bCs/>
          <w:b/>
        </w:rPr>
        <w:t xml:space="preserve">Apex Talent Solutions LLP</w:t>
      </w:r>
      <w:r>
        <w:br/>
      </w:r>
      <w:r>
        <w:t xml:space="preserve">4th Floor, WeWork Galaxy, MG Road,</w:t>
      </w:r>
      <w:r>
        <w:br/>
      </w:r>
      <w:r>
        <w:t xml:space="preserve">India Bangalore</w:t>
      </w:r>
      <w:r>
        <w:t xml:space="preserve"> </w:t>
      </w:r>
      <w:r>
        <w:t xml:space="preserve">– 560001</w:t>
      </w:r>
      <w:r>
        <w:br/>
      </w:r>
      <w:r>
        <w:t xml:space="preserve">Karnataka, India</w:t>
      </w:r>
      <w:r>
        <w:br/>
      </w:r>
      <w:r>
        <w:t xml:space="preserve">GSTIN: 29AAKCA5678G1Z2</w:t>
      </w:r>
      <w:r>
        <w:br/>
      </w:r>
      <w:r>
        <w:t xml:space="preserve">Contact: contracts@apextalent.in</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Number:</w:t>
            </w:r>
          </w:p>
        </w:tc>
        <w:tc>
          <w:tcPr/>
          <w:p>
            <w:pPr>
              <w:pStyle w:val="Compact"/>
              <w:jc w:val="left"/>
            </w:pPr>
            <w:r>
              <w:t xml:space="preserve">PO-MCA-2025-0472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Required Commencement Date:</w:t>
            </w:r>
          </w:p>
        </w:tc>
        <w:tc>
          <w:tcPr/>
          <w:p>
            <w:pPr>
              <w:pStyle w:val="Compact"/>
              <w:jc w:val="left"/>
            </w:pPr>
            <w:r>
              <w:t xml:space="preserve">01 July 2025</w:t>
            </w:r>
          </w:p>
        </w:tc>
      </w:tr>
      <w:tr>
        <w:tc>
          <w:tcPr/>
          <w:p>
            <w:pPr>
              <w:pStyle w:val="Compact"/>
              <w:jc w:val="left"/>
            </w:pPr>
            <w:r>
              <w:t xml:space="preserve">Contract Duration:</w:t>
            </w:r>
          </w:p>
        </w:tc>
        <w:tc>
          <w:tcPr/>
          <w:p>
            <w:pPr>
              <w:pStyle w:val="Compact"/>
              <w:jc w:val="left"/>
            </w:pPr>
            <w:r>
              <w:t xml:space="preserve">12 (Twelve) Months, renewable by mutual written consent</w:t>
            </w:r>
          </w:p>
        </w:tc>
      </w:tr>
      <w:tr>
        <w:tc>
          <w:tcPr/>
          <w:p>
            <w:pPr>
              <w:pStyle w:val="Compact"/>
              <w:jc w:val="left"/>
            </w:pPr>
            <w:r>
              <w:t xml:space="preserve">Place of Performance:</w:t>
            </w:r>
          </w:p>
        </w:tc>
        <w:tc>
          <w:tcPr/>
          <w:p>
            <w:pPr>
              <w:pStyle w:val="Compact"/>
              <w:jc w:val="left"/>
            </w:pPr>
            <w:r>
              <w:t xml:space="preserve">India Bangalore</w:t>
            </w:r>
            <w:r>
              <w:t xml:space="preserve">, Karnataka, India</w:t>
            </w:r>
          </w:p>
        </w:tc>
      </w:tr>
      <w:tr>
        <w:tc>
          <w:tcPr/>
          <w:p>
            <w:pPr>
              <w:pStyle w:val="Compact"/>
              <w:jc w:val="left"/>
            </w:pPr>
            <w:r>
              <w:t xml:space="preserve">Payment Terms:</w:t>
            </w:r>
          </w:p>
        </w:tc>
        <w:tc>
          <w:tcPr/>
          <w:p>
            <w:pPr>
              <w:pStyle w:val="Compact"/>
              <w:jc w:val="left"/>
            </w:pPr>
            <w:r>
              <w:t xml:space="preserve">Net 30 days from receipt of valid invoice</w:t>
            </w:r>
          </w:p>
        </w:tc>
      </w:tr>
      <w:tr>
        <w:tc>
          <w:tcPr/>
          <w:p>
            <w:pPr>
              <w:pStyle w:val="Compact"/>
              <w:jc w:val="left"/>
            </w:pPr>
            <w:r>
              <w:t xml:space="preserve">Currency:</w:t>
            </w:r>
          </w:p>
        </w:tc>
        <w:tc>
          <w:tcPr/>
          <w:p>
            <w:pPr>
              <w:pStyle w:val="Compact"/>
              <w:jc w:val="left"/>
            </w:pPr>
            <w:r>
              <w:t xml:space="preserve">Indian Rupees (INR)</w:t>
            </w:r>
          </w:p>
        </w:tc>
      </w:tr>
      <w:tr>
        <w:tc>
          <w:tcPr/>
          <w:p>
            <w:pPr>
              <w:pStyle w:val="Compact"/>
              <w:jc w:val="left"/>
            </w:pPr>
            <w:r>
              <w:t xml:space="preserve">Governing Jurisdiction:</w:t>
            </w:r>
          </w:p>
        </w:tc>
        <w:tc>
          <w:tcPr/>
          <w:p>
            <w:pPr>
              <w:pStyle w:val="Compact"/>
              <w:jc w:val="left"/>
            </w:pPr>
            <w:r>
              <w:t xml:space="preserve">Laws of India; Courts of</w:t>
            </w:r>
            <w:r>
              <w:t xml:space="preserve"> </w:t>
            </w:r>
            <w:r>
              <w:t xml:space="preserve">India Bangalore</w:t>
            </w:r>
            <w:r>
              <w:t xml:space="preserve"> </w:t>
            </w:r>
            <w:r>
              <w:t xml:space="preserve">shall have exclusive jurisdiction</w:t>
            </w:r>
          </w:p>
        </w:tc>
      </w:tr>
    </w:tbl>
    <w:bookmarkStart w:id="23"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Meridian Capital Advisory Pvt. Ltd. (hereinafter referred to as the "Buyer") to Apex Talent Solutions LLP (hereinafter referred to as the "Vendor") for the procurement and engagement of a qualified</w:t>
      </w:r>
      <w:r>
        <w:t xml:space="preserve"> </w:t>
      </w:r>
      <w:r>
        <w:t xml:space="preserve">Financial Analyst</w:t>
      </w:r>
      <w:r>
        <w:t xml:space="preserve"> </w:t>
      </w:r>
      <w:r>
        <w:t xml:space="preserve">to provide specialized financial analysis, reporting, and advisory services. The</w:t>
      </w:r>
      <w:r>
        <w:t xml:space="preserve"> </w:t>
      </w:r>
      <w:r>
        <w:t xml:space="preserve">Financial Analyst</w:t>
      </w:r>
      <w:r>
        <w:t xml:space="preserve"> </w:t>
      </w:r>
      <w:r>
        <w:t xml:space="preserve">shall be physically stationed at the Buyer's office premises located in</w:t>
      </w:r>
      <w:r>
        <w:t xml:space="preserve"> </w:t>
      </w:r>
      <w:r>
        <w:t xml:space="preserve">India Bangalore</w:t>
      </w:r>
      <w:r>
        <w:t xml:space="preserve"> </w:t>
      </w:r>
      <w:r>
        <w:t xml:space="preserve">and shall report directly to the Head of Financial Planning &amp; Analysis. This</w:t>
      </w:r>
      <w:r>
        <w:t xml:space="preserve"> </w:t>
      </w:r>
      <w:r>
        <w:t xml:space="preserve">Purchase Order</w:t>
      </w:r>
      <w:r>
        <w:t xml:space="preserve"> </w:t>
      </w:r>
      <w:r>
        <w:t xml:space="preserve">constitutes a binding agreement for the services described herein, and all terms, conditions, and obligations set forth in this document shall be strictly adhered to by both parties.</w:t>
      </w:r>
    </w:p>
    <w:bookmarkEnd w:id="23"/>
    <w:bookmarkStart w:id="24" w:name="scope-of-work-deliverables"/>
    <w:p>
      <w:pPr>
        <w:pStyle w:val="Heading2"/>
      </w:pPr>
      <w:r>
        <w:t xml:space="preserve">2. Scope of Work &amp; Deliverables</w:t>
      </w:r>
    </w:p>
    <w:p>
      <w:pPr>
        <w:pStyle w:val="FirstParagraph"/>
      </w:pPr>
      <w:r>
        <w:t xml:space="preserve">The</w:t>
      </w:r>
      <w:r>
        <w:t xml:space="preserve"> </w:t>
      </w:r>
      <w:r>
        <w:t xml:space="preserve">Financial Analyst</w:t>
      </w:r>
      <w:r>
        <w:t xml:space="preserve"> </w:t>
      </w:r>
      <w:r>
        <w:t xml:space="preserve">engaged under this</w:t>
      </w:r>
      <w:r>
        <w:t xml:space="preserve"> </w:t>
      </w:r>
      <w:r>
        <w:t xml:space="preserve">Purchase Order</w:t>
      </w:r>
      <w:r>
        <w:t xml:space="preserve"> </w:t>
      </w:r>
      <w:r>
        <w:t xml:space="preserve">shall perform the following duties and deliverables while operating out of the</w:t>
      </w:r>
      <w:r>
        <w:t xml:space="preserve"> </w:t>
      </w:r>
      <w:r>
        <w:t xml:space="preserve">India Bangalore</w:t>
      </w:r>
      <w:r>
        <w:t xml:space="preserve"> </w:t>
      </w:r>
      <w:r>
        <w:t xml:space="preserve">office: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Sr. No.</w:t>
            </w:r>
          </w:p>
        </w:tc>
        <w:tc>
          <w:tcPr/>
          <w:p>
            <w:pPr>
              <w:pStyle w:val="Compact"/>
              <w:jc w:val="left"/>
            </w:pPr>
            <w:r>
              <w:t xml:space="preserve">Deliverable / Task</w:t>
            </w:r>
          </w:p>
        </w:tc>
        <w:tc>
          <w:tcPr/>
          <w:p>
            <w:pPr>
              <w:pStyle w:val="Compact"/>
              <w:jc w:val="left"/>
            </w:pPr>
            <w:r>
              <w:t xml:space="preserve">Frequency</w:t>
            </w:r>
          </w:p>
        </w:tc>
        <w:tc>
          <w:tcPr/>
          <w:p>
            <w:pPr>
              <w:pStyle w:val="Compact"/>
              <w:jc w:val="left"/>
            </w:pPr>
            <w:r>
              <w:t xml:space="preserve">Acceptance Criteria</w:t>
            </w:r>
          </w:p>
        </w:tc>
      </w:tr>
      <w:tr>
        <w:tc>
          <w:tcPr/>
          <w:p>
            <w:pPr>
              <w:pStyle w:val="Compact"/>
              <w:jc w:val="left"/>
            </w:pPr>
            <w:r>
              <w:t xml:space="preserve">1</w:t>
            </w:r>
          </w:p>
        </w:tc>
        <w:tc>
          <w:tcPr/>
          <w:p>
            <w:pPr>
              <w:pStyle w:val="Compact"/>
              <w:jc w:val="left"/>
            </w:pPr>
            <w:r>
              <w:t xml:space="preserve">Monthly financial performance reports including P&amp;L, balance sheet analysis, and cash flow statements for all business units</w:t>
            </w:r>
          </w:p>
        </w:tc>
        <w:tc>
          <w:tcPr/>
          <w:p>
            <w:pPr>
              <w:pStyle w:val="Compact"/>
              <w:jc w:val="left"/>
            </w:pPr>
            <w:r>
              <w:t xml:space="preserve">Monthly (by 5th working day)</w:t>
            </w:r>
          </w:p>
        </w:tc>
        <w:tc>
          <w:tcPr/>
          <w:p>
            <w:pPr>
              <w:pStyle w:val="Compact"/>
              <w:jc w:val="left"/>
            </w:pPr>
            <w:r>
              <w:t xml:space="preserve">Reviewed and approved by CFO; zero material misstatements</w:t>
            </w:r>
          </w:p>
        </w:tc>
      </w:tr>
      <w:tr>
        <w:tc>
          <w:tcPr/>
          <w:p>
            <w:pPr>
              <w:pStyle w:val="Compact"/>
              <w:jc w:val="left"/>
            </w:pPr>
            <w:r>
              <w:t xml:space="preserve">2</w:t>
            </w:r>
          </w:p>
        </w:tc>
        <w:tc>
          <w:tcPr/>
          <w:p>
            <w:pPr>
              <w:pStyle w:val="Compact"/>
              <w:jc w:val="left"/>
            </w:pPr>
            <w:r>
              <w:t xml:space="preserve">Quarterly budget variance analysis with root-cause identification and corrective recommendations</w:t>
            </w:r>
          </w:p>
        </w:tc>
        <w:tc>
          <w:tcPr/>
          <w:p>
            <w:pPr>
              <w:pStyle w:val="Compact"/>
              <w:jc w:val="left"/>
            </w:pPr>
            <w:r>
              <w:t xml:space="preserve">Quarterly</w:t>
            </w:r>
          </w:p>
        </w:tc>
        <w:tc>
          <w:tcPr/>
          <w:p>
            <w:pPr>
              <w:pStyle w:val="Compact"/>
              <w:jc w:val="left"/>
            </w:pPr>
            <w:r>
              <w:t xml:space="preserve">Presented to the Board; actionable insights documented</w:t>
            </w:r>
          </w:p>
        </w:tc>
      </w:tr>
      <w:tr>
        <w:tc>
          <w:tcPr/>
          <w:p>
            <w:pPr>
              <w:pStyle w:val="Compact"/>
              <w:jc w:val="left"/>
            </w:pPr>
            <w:r>
              <w:t xml:space="preserve">3</w:t>
            </w:r>
          </w:p>
        </w:tc>
        <w:tc>
          <w:tcPr/>
          <w:p>
            <w:pPr>
              <w:pStyle w:val="Compact"/>
              <w:jc w:val="left"/>
            </w:pPr>
            <w:r>
              <w:t xml:space="preserve">Development and maintenance of financial models for M&amp;A due diligence and capital allocation decisions</w:t>
            </w:r>
          </w:p>
        </w:tc>
        <w:tc>
          <w:tcPr/>
          <w:p>
            <w:pPr>
              <w:pStyle w:val="Compact"/>
              <w:jc w:val="left"/>
            </w:pPr>
            <w:r>
              <w:t xml:space="preserve">As required</w:t>
            </w:r>
          </w:p>
        </w:tc>
        <w:tc>
          <w:tcPr/>
          <w:p>
            <w:pPr>
              <w:pStyle w:val="Compact"/>
              <w:jc w:val="left"/>
            </w:pPr>
            <w:r>
              <w:t xml:space="preserve">Model accuracy validated by internal audit</w:t>
            </w:r>
          </w:p>
        </w:tc>
      </w:tr>
      <w:tr>
        <w:tc>
          <w:tcPr/>
          <w:p>
            <w:pPr>
              <w:pStyle w:val="Compact"/>
              <w:jc w:val="left"/>
            </w:pPr>
            <w:r>
              <w:t xml:space="preserve">4</w:t>
            </w:r>
          </w:p>
        </w:tc>
        <w:tc>
          <w:tcPr/>
          <w:p>
            <w:pPr>
              <w:pStyle w:val="Compact"/>
              <w:jc w:val="left"/>
            </w:pPr>
            <w:r>
              <w:t xml:space="preserve">Regulatory compliance reporting as per SEBI, RBI, and MCA guidelines applicable in</w:t>
            </w:r>
            <w:r>
              <w:t xml:space="preserve"> </w:t>
            </w:r>
            <w:r>
              <w:t xml:space="preserve">India Bangalore</w:t>
            </w:r>
          </w:p>
        </w:tc>
        <w:tc>
          <w:tcPr/>
          <w:p>
            <w:pPr>
              <w:pStyle w:val="Compact"/>
              <w:jc w:val="left"/>
            </w:pPr>
            <w:r>
              <w:t xml:space="preserve">As per statutory deadlines</w:t>
            </w:r>
          </w:p>
        </w:tc>
        <w:tc>
          <w:tcPr/>
          <w:p>
            <w:pPr>
              <w:pStyle w:val="Compact"/>
              <w:jc w:val="left"/>
            </w:pPr>
            <w:r>
              <w:t xml:space="preserve">Timely filing; no regulatory penalties incurred</w:t>
            </w:r>
          </w:p>
        </w:tc>
      </w:tr>
      <w:tr>
        <w:tc>
          <w:tcPr/>
          <w:p>
            <w:pPr>
              <w:pStyle w:val="Compact"/>
              <w:jc w:val="left"/>
            </w:pPr>
            <w:r>
              <w:t xml:space="preserve">5</w:t>
            </w:r>
          </w:p>
        </w:tc>
        <w:tc>
          <w:tcPr/>
          <w:p>
            <w:pPr>
              <w:pStyle w:val="Compact"/>
              <w:jc w:val="left"/>
            </w:pPr>
            <w:r>
              <w:t xml:space="preserve">Annual audit support and coordination with external auditors (Big Four firms)</w:t>
            </w:r>
          </w:p>
        </w:tc>
        <w:tc>
          <w:tcPr/>
          <w:p>
            <w:pPr>
              <w:pStyle w:val="Compact"/>
              <w:jc w:val="left"/>
            </w:pPr>
            <w:r>
              <w:t xml:space="preserve">Annually (Q4)</w:t>
            </w:r>
          </w:p>
        </w:tc>
        <w:tc>
          <w:tcPr/>
          <w:p>
            <w:pPr>
              <w:pStyle w:val="Compact"/>
              <w:jc w:val="left"/>
            </w:pPr>
            <w:r>
              <w:t xml:space="preserve">Unqualified audit opinion; zero qualified findings</w:t>
            </w:r>
          </w:p>
        </w:tc>
      </w:tr>
      <w:tr>
        <w:tc>
          <w:tcPr/>
          <w:p>
            <w:pPr>
              <w:pStyle w:val="Compact"/>
              <w:jc w:val="left"/>
            </w:pPr>
            <w:r>
              <w:t xml:space="preserve">6</w:t>
            </w:r>
          </w:p>
        </w:tc>
        <w:tc>
          <w:tcPr/>
          <w:p>
            <w:pPr>
              <w:pStyle w:val="Compact"/>
              <w:jc w:val="left"/>
            </w:pPr>
            <w:r>
              <w:t xml:space="preserve">Ad-hoc financial research, market benchmarking, and investment memo preparation</w:t>
            </w:r>
          </w:p>
        </w:tc>
        <w:tc>
          <w:tcPr/>
          <w:p>
            <w:pPr>
              <w:pStyle w:val="Compact"/>
              <w:jc w:val="left"/>
            </w:pPr>
            <w:r>
              <w:t xml:space="preserve">On demand</w:t>
            </w:r>
          </w:p>
        </w:tc>
        <w:tc>
          <w:tcPr/>
          <w:p>
            <w:pPr>
              <w:pStyle w:val="Compact"/>
              <w:jc w:val="left"/>
            </w:pPr>
            <w:r>
              <w:t xml:space="preserve">Delivered within 48 hours of request; peer-reviewed quality</w:t>
            </w:r>
          </w:p>
        </w:tc>
      </w:tr>
    </w:tbl>
    <w:bookmarkEnd w:id="24"/>
    <w:bookmarkStart w:id="25" w:name="X931c75cd73c4bb6a14b3bb6d6116291e99cdee2"/>
    <w:p>
      <w:pPr>
        <w:pStyle w:val="Heading2"/>
      </w:pPr>
      <w:r>
        <w:t xml:space="preserve">3. Qualification Requirements for the Financial Analyst</w:t>
      </w:r>
    </w:p>
    <w:p>
      <w:pPr>
        <w:pStyle w:val="FirstParagraph"/>
      </w:pPr>
      <w:r>
        <w:t xml:space="preserve">The</w:t>
      </w:r>
      <w:r>
        <w:t xml:space="preserve"> </w:t>
      </w:r>
      <w:r>
        <w:t xml:space="preserve">Financial Analyst</w:t>
      </w:r>
      <w:r>
        <w:t xml:space="preserve"> </w:t>
      </w:r>
      <w:r>
        <w:t xml:space="preserve">procured under this</w:t>
      </w:r>
      <w:r>
        <w:t xml:space="preserve"> </w:t>
      </w:r>
      <w:r>
        <w:t xml:space="preserve">Purchase Order</w:t>
      </w:r>
      <w:r>
        <w:t xml:space="preserve"> </w:t>
      </w:r>
      <w:r>
        <w:t xml:space="preserve">must satisfy the following minimum qualifications:</w:t>
      </w:r>
    </w:p>
    <w:p>
      <w:pPr>
        <w:numPr>
          <w:ilvl w:val="0"/>
          <w:numId w:val="1001"/>
        </w:numPr>
        <w:pStyle w:val="Compact"/>
      </w:pPr>
      <w:r>
        <w:t xml:space="preserve">A Master's degree in Finance, Accounting, Economics, or a related discipline from a recognized Indian or international university.</w:t>
      </w:r>
    </w:p>
    <w:p>
      <w:pPr>
        <w:numPr>
          <w:ilvl w:val="0"/>
          <w:numId w:val="1001"/>
        </w:numPr>
        <w:pStyle w:val="Compact"/>
      </w:pPr>
      <w:r>
        <w:t xml:space="preserve">Chartered Accountant (CA) qualification from the Institute of Chartered Accountants of India (ICAI), or CFA Level II or above.</w:t>
      </w:r>
    </w:p>
    <w:p>
      <w:pPr>
        <w:numPr>
          <w:ilvl w:val="0"/>
          <w:numId w:val="1001"/>
        </w:numPr>
        <w:pStyle w:val="Compact"/>
      </w:pPr>
      <w:r>
        <w:t xml:space="preserve">Minimum 5 years of progressive experience in financial analysis, preferably in the financial services, banking, or investment management sector within</w:t>
      </w:r>
      <w:r>
        <w:t xml:space="preserve"> </w:t>
      </w:r>
      <w:r>
        <w:t xml:space="preserve">India Bangalore</w:t>
      </w:r>
      <w:r>
        <w:t xml:space="preserve"> </w:t>
      </w:r>
      <w:r>
        <w:t xml:space="preserve">or other major Indian metropolitan cities.</w:t>
      </w:r>
    </w:p>
    <w:p>
      <w:pPr>
        <w:numPr>
          <w:ilvl w:val="0"/>
          <w:numId w:val="1001"/>
        </w:numPr>
        <w:pStyle w:val="Compact"/>
      </w:pPr>
      <w:r>
        <w:t xml:space="preserve">Proficiency in advanced Excel, SQL, Python for data analysis, and at least one ERP system (SAP, Oracle, or Tally).</w:t>
      </w:r>
    </w:p>
    <w:p>
      <w:pPr>
        <w:numPr>
          <w:ilvl w:val="0"/>
          <w:numId w:val="1001"/>
        </w:numPr>
        <w:pStyle w:val="Compact"/>
      </w:pPr>
      <w:r>
        <w:t xml:space="preserve">Demonstrated knowledge of Indian GAAP, Ind AS, and international financial reporting standards (IFRS).</w:t>
      </w:r>
    </w:p>
    <w:p>
      <w:pPr>
        <w:numPr>
          <w:ilvl w:val="0"/>
          <w:numId w:val="1001"/>
        </w:numPr>
        <w:pStyle w:val="Compact"/>
      </w:pPr>
      <w:r>
        <w:t xml:space="preserve">Valid work authorization to perform professional services in</w:t>
      </w:r>
      <w:r>
        <w:t xml:space="preserve"> </w:t>
      </w:r>
      <w:r>
        <w:t xml:space="preserve">India Bangalore</w:t>
      </w:r>
      <w:r>
        <w:t xml:space="preserve">, Karnataka, India.</w:t>
      </w:r>
    </w:p>
    <w:bookmarkEnd w:id="25"/>
    <w:bookmarkStart w:id="26" w:name="financial-terms-payment-schedule"/>
    <w:p>
      <w:pPr>
        <w:pStyle w:val="Heading2"/>
      </w:pPr>
      <w:r>
        <w:t xml:space="preserve">4. Financial Terms &amp; Payment Schedule</w:t>
      </w:r>
    </w:p>
    <w:p>
      <w:pPr>
        <w:pStyle w:val="FirstParagraph"/>
      </w:pPr>
      <w:r>
        <w:t xml:space="preserve">The total contractual value of this</w:t>
      </w:r>
      <w:r>
        <w:t xml:space="preserve"> </w:t>
      </w:r>
      <w:r>
        <w:t xml:space="preserve">Purchase Order</w:t>
      </w:r>
      <w:r>
        <w:t xml:space="preserve"> </w:t>
      </w:r>
      <w:r>
        <w:t xml:space="preserve">for the engagement of the</w:t>
      </w:r>
      <w:r>
        <w:t xml:space="preserve"> </w:t>
      </w:r>
      <w:r>
        <w:t xml:space="preserve">Financial Analyst</w:t>
      </w:r>
      <w:r>
        <w:t xml:space="preserve"> </w:t>
      </w:r>
      <w:r>
        <w:t xml:space="preserve">is as follows:</w:t>
      </w:r>
    </w:p>
    <w:p>
      <w:pPr>
        <w:pStyle w:val="BodyText"/>
      </w:pPr>
      <w:r>
        <w:t xml:space="preserve">Monthly Professional Fee (inclusive of all statutory deductions):</w:t>
      </w:r>
      <w:r>
        <w:t xml:space="preserve"> </w:t>
      </w:r>
      <w:r>
        <w:rPr>
          <w:bCs/>
          <w:b/>
        </w:rPr>
        <w:t xml:space="preserve">INR 2,85,000/- (Rupees Two Lakh Eighty-Five Thousand Only)</w:t>
      </w:r>
    </w:p>
    <w:p>
      <w:pPr>
        <w:pStyle w:val="BodyText"/>
      </w:pPr>
      <w:r>
        <w:t xml:space="preserve">Annual Contract Value (12 months):</w:t>
      </w:r>
      <w:r>
        <w:t xml:space="preserve"> </w:t>
      </w:r>
      <w:r>
        <w:rPr>
          <w:bCs/>
          <w:b/>
        </w:rPr>
        <w:t xml:space="preserve">INR 34,20,000/- (Rupees Thirty-Four Lakh Twenty Thousand Only)</w:t>
      </w:r>
    </w:p>
    <w:p>
      <w:pPr>
        <w:pStyle w:val="BodyText"/>
      </w:pPr>
      <w:r>
        <w:t xml:space="preserve">GST @ 18% (applicable on professional services in</w:t>
      </w:r>
      <w:r>
        <w:t xml:space="preserve"> </w:t>
      </w:r>
      <w:r>
        <w:t xml:space="preserve">India Bangalore</w:t>
      </w:r>
      <w:r>
        <w:t xml:space="preserve">):</w:t>
      </w:r>
      <w:r>
        <w:t xml:space="preserve"> </w:t>
      </w:r>
      <w:r>
        <w:rPr>
          <w:bCs/>
          <w:b/>
        </w:rPr>
        <w:t xml:space="preserve">INR 6,15,600/-</w:t>
      </w:r>
    </w:p>
    <w:p>
      <w:pPr>
        <w:pStyle w:val="BodyText"/>
      </w:pPr>
      <w:r>
        <w:rPr>
          <w:bCs/>
          <w:b/>
        </w:rPr>
        <w:t xml:space="preserve">Total Annual Value (Inclusive of GST): INR 40,35,600/- (Rupees Forty Lakh Thirty-Five Thousand Six Hundred Only)</w:t>
      </w:r>
    </w:p>
    <w:p>
      <w:pPr>
        <w:pStyle w:val="BodyText"/>
      </w:pPr>
      <w:r>
        <w:t xml:space="preserve">Payments shall be processed via NEFT/RTGS to the Vendor's designated bank account in</w:t>
      </w:r>
      <w:r>
        <w:t xml:space="preserve"> </w:t>
      </w:r>
      <w:r>
        <w:t xml:space="preserve">India Bangalore</w:t>
      </w:r>
      <w:r>
        <w:t xml:space="preserve">. Invoices must be submitted by the 10th of each month for the preceding month's services. The Buyer reserves the right to withhold payment for any deliverable that does not meet the acceptance criteria outlined in Section 2.</w:t>
      </w:r>
    </w:p>
    <w:bookmarkEnd w:id="26"/>
    <w:bookmarkStart w:id="27" w:name="terms-and-conditions"/>
    <w:p>
      <w:pPr>
        <w:pStyle w:val="Heading2"/>
      </w:pPr>
      <w:r>
        <w:t xml:space="preserve">5. Terms and Conditions</w:t>
      </w:r>
    </w:p>
    <w:p>
      <w:pPr>
        <w:numPr>
          <w:ilvl w:val="0"/>
          <w:numId w:val="1002"/>
        </w:numPr>
        <w:pStyle w:val="Compact"/>
      </w:pPr>
      <w:r>
        <w:rPr>
          <w:bCs/>
          <w:b/>
        </w:rPr>
        <w:t xml:space="preserve">Confidentiality:</w:t>
      </w:r>
      <w:r>
        <w:t xml:space="preserve"> </w:t>
      </w:r>
      <w:r>
        <w:t xml:space="preserve">The</w:t>
      </w:r>
      <w:r>
        <w:t xml:space="preserve"> </w:t>
      </w:r>
      <w:r>
        <w:t xml:space="preserve">Financial Analyst</w:t>
      </w:r>
      <w:r>
        <w:t xml:space="preserve"> </w:t>
      </w:r>
      <w:r>
        <w:t xml:space="preserve">shall execute a Non-Disclosure Agreement (NDA) prior to commencing work. All financial data, client information, and proprietary models accessed during the engagement in</w:t>
      </w:r>
      <w:r>
        <w:t xml:space="preserve"> </w:t>
      </w:r>
      <w:r>
        <w:t xml:space="preserve">India Bangalore</w:t>
      </w:r>
      <w:r>
        <w:t xml:space="preserve"> </w:t>
      </w:r>
      <w:r>
        <w:t xml:space="preserve">shall remain the exclusive property of the Buyer.</w:t>
      </w:r>
    </w:p>
    <w:p>
      <w:pPr>
        <w:numPr>
          <w:ilvl w:val="0"/>
          <w:numId w:val="1002"/>
        </w:numPr>
        <w:pStyle w:val="Compact"/>
      </w:pPr>
      <w:r>
        <w:rPr>
          <w:bCs/>
          <w:b/>
        </w:rPr>
        <w:t xml:space="preserve">Intellectual Property:</w:t>
      </w:r>
      <w:r>
        <w:t xml:space="preserve"> </w:t>
      </w:r>
      <w:r>
        <w:t xml:space="preserve">All reports, models, analyses, and work products created by the</w:t>
      </w:r>
      <w:r>
        <w:t xml:space="preserve"> </w:t>
      </w:r>
      <w:r>
        <w:t xml:space="preserve">Financial Analyst</w:t>
      </w:r>
      <w:r>
        <w:t xml:space="preserve"> </w:t>
      </w:r>
      <w:r>
        <w:t xml:space="preserve">under this</w:t>
      </w:r>
      <w:r>
        <w:t xml:space="preserve"> </w:t>
      </w:r>
      <w:r>
        <w:t xml:space="preserve">Purchase Order</w:t>
      </w:r>
      <w:r>
        <w:t xml:space="preserve"> </w:t>
      </w:r>
      <w:r>
        <w:t xml:space="preserve">shall be the sole intellectual property of Meridian Capital Advisory Pvt. Ltd.</w:t>
      </w:r>
    </w:p>
    <w:p>
      <w:pPr>
        <w:numPr>
          <w:ilvl w:val="0"/>
          <w:numId w:val="1002"/>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30 days' written notice. In case of material breach, termination may be effected immediately upon written notice.</w:t>
      </w:r>
    </w:p>
    <w:p>
      <w:pPr>
        <w:numPr>
          <w:ilvl w:val="0"/>
          <w:numId w:val="1002"/>
        </w:numPr>
        <w:pStyle w:val="Compact"/>
      </w:pPr>
      <w:r>
        <w:rPr>
          <w:bCs/>
          <w:b/>
        </w:rPr>
        <w:t xml:space="preserve">Compliance:</w:t>
      </w:r>
      <w:r>
        <w:t xml:space="preserve"> </w:t>
      </w:r>
      <w:r>
        <w:t xml:space="preserve">The Vendor and the</w:t>
      </w:r>
      <w:r>
        <w:t xml:space="preserve"> </w:t>
      </w:r>
      <w:r>
        <w:t xml:space="preserve">Financial Analyst</w:t>
      </w:r>
      <w:r>
        <w:t xml:space="preserve"> </w:t>
      </w:r>
      <w:r>
        <w:t xml:space="preserve">shall comply with all applicable Indian labor laws, tax regulations (including TDS under Section 194J of the Income Tax Act, 1961), and local municipal regulations in</w:t>
      </w:r>
      <w:r>
        <w:t xml:space="preserve"> </w:t>
      </w:r>
      <w:r>
        <w:t xml:space="preserve">India Bangalore</w:t>
      </w:r>
      <w:r>
        <w:t xml:space="preserve">.</w:t>
      </w:r>
    </w:p>
    <w:p>
      <w:pPr>
        <w:numPr>
          <w:ilvl w:val="0"/>
          <w:numId w:val="1002"/>
        </w:numPr>
        <w:pStyle w:val="Compact"/>
      </w:pPr>
      <w:r>
        <w:rPr>
          <w:bCs/>
          <w:b/>
        </w:rPr>
        <w:t xml:space="preserve">Insurance:</w:t>
      </w:r>
      <w:r>
        <w:t xml:space="preserve"> </w:t>
      </w:r>
      <w:r>
        <w:t xml:space="preserve">The Vendor shall maintain professional indemnity insurance of not less than INR 50,00,000/- for the duration of this</w:t>
      </w:r>
      <w:r>
        <w:t xml:space="preserve"> </w:t>
      </w:r>
      <w:r>
        <w:t xml:space="preserve">Purchase Order</w:t>
      </w:r>
      <w:r>
        <w:t xml:space="preserve">.</w:t>
      </w:r>
    </w:p>
    <w:p>
      <w:pPr>
        <w:numPr>
          <w:ilvl w:val="0"/>
          <w:numId w:val="1002"/>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first be attempted to be resolved through mediation. Failing amicable resolution, the matter shall be referred to arbitration under the Arbitration and Conciliation Act, 1996, with the seat of arbitration in</w:t>
      </w:r>
      <w:r>
        <w:t xml:space="preserve"> </w:t>
      </w:r>
      <w:r>
        <w:t xml:space="preserve">India Bangalore</w:t>
      </w:r>
      <w:r>
        <w:t xml:space="preserve">.</w:t>
      </w:r>
    </w:p>
    <w:p>
      <w:pPr>
        <w:numPr>
          <w:ilvl w:val="0"/>
          <w:numId w:val="1002"/>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lockdowns in</w:t>
      </w:r>
      <w:r>
        <w:t xml:space="preserve"> </w:t>
      </w:r>
      <w:r>
        <w:t xml:space="preserve">India Bangalore</w:t>
      </w:r>
      <w:r>
        <w:t xml:space="preserve">, or systemic IT failures.</w:t>
      </w:r>
    </w:p>
    <w:bookmarkEnd w:id="27"/>
    <w:bookmarkStart w:id="28" w:name="authorization-acceptance"/>
    <w:p>
      <w:pPr>
        <w:pStyle w:val="Heading2"/>
      </w:pPr>
      <w:r>
        <w:t xml:space="preserve">6. Authorization &amp; Acceptance</w:t>
      </w:r>
    </w:p>
    <w:p>
      <w:pPr>
        <w:pStyle w:val="FirstParagraph"/>
      </w:pPr>
      <w:r>
        <w:t xml:space="preserve">This</w:t>
      </w:r>
      <w:r>
        <w:t xml:space="preserve"> </w:t>
      </w:r>
      <w:r>
        <w:t xml:space="preserve">Purchase Order</w:t>
      </w:r>
      <w:r>
        <w:t xml:space="preserve"> </w:t>
      </w:r>
      <w:r>
        <w:t xml:space="preserve">is issued under the authority of the undersigned and becomes effective upon countersignature by the Vendor. Both parties acknowledge that this document, along with the attached Service Level Agreement (SLA) and NDA, forms the complete agreement for the engagement of the</w:t>
      </w:r>
      <w:r>
        <w:t xml:space="preserve"> </w:t>
      </w:r>
      <w:r>
        <w:t xml:space="preserve">Financial Analyst</w:t>
      </w:r>
      <w:r>
        <w:t xml:space="preserve"> </w:t>
      </w:r>
      <w:r>
        <w:t xml:space="preserve">in</w:t>
      </w:r>
      <w:r>
        <w:t xml:space="preserve"> </w:t>
      </w:r>
      <w:r>
        <w:t xml:space="preserve">India Bangalore</w:t>
      </w:r>
      <w:r>
        <w:t xml:space="preserve">.</w:t>
      </w:r>
    </w:p>
    <w:p>
      <w:pPr>
        <w:pStyle w:val="BodyText"/>
      </w:pPr>
      <w:r>
        <w:rPr>
          <w:bCs/>
          <w:b/>
        </w:rPr>
        <w:t xml:space="preserve">For and on behalf of Meridian Capital Advisory Pvt. Ltd. (Buyer)</w:t>
      </w:r>
    </w:p>
    <w:p>
      <w:pPr>
        <w:pStyle w:val="BodyText"/>
      </w:pPr>
      <w:r>
        <w:rPr>
          <w:bCs/>
          <w:b/>
        </w:rPr>
        <w:t xml:space="preserve">Name:</w:t>
      </w:r>
      <w:r>
        <w:t xml:space="preserve"> </w:t>
      </w:r>
      <w:r>
        <w:t xml:space="preserve">Rajesh Kumar Nair</w:t>
      </w:r>
    </w:p>
    <w:p>
      <w:pPr>
        <w:pStyle w:val="BodyText"/>
      </w:pPr>
      <w:r>
        <w:rPr>
          <w:bCs/>
          <w:b/>
        </w:rPr>
        <w:t xml:space="preserve">Designation:</w:t>
      </w:r>
      <w:r>
        <w:t xml:space="preserve"> </w:t>
      </w:r>
      <w:r>
        <w:t xml:space="preserve">Chief Financial Officer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14 June 2025</w:t>
      </w:r>
    </w:p>
    <w:p>
      <w:pPr>
        <w:pStyle w:val="BodyText"/>
      </w:pPr>
      <w:r>
        <w:rPr>
          <w:bCs/>
          <w:b/>
        </w:rPr>
        <w:t xml:space="preserve">Place:</w:t>
      </w:r>
      <w:r>
        <w:t xml:space="preserve"> </w:t>
      </w:r>
      <w:r>
        <w:t xml:space="preserve">India Bangalore</w:t>
      </w:r>
    </w:p>
    <w:p>
      <w:pPr>
        <w:pStyle w:val="BodyText"/>
      </w:pPr>
      <w:r>
        <w:rPr>
          <w:bCs/>
          <w:b/>
        </w:rPr>
        <w:t xml:space="preserve">For and on behalf of Apex Talent Solutions LLP (Vendor)</w:t>
      </w:r>
    </w:p>
    <w:p>
      <w:pPr>
        <w:pStyle w:val="BodyText"/>
      </w:pPr>
      <w:r>
        <w:rPr>
          <w:bCs/>
          <w:b/>
        </w:rPr>
        <w:t xml:space="preserve">Name:</w:t>
      </w:r>
      <w:r>
        <w:t xml:space="preserve"> </w:t>
      </w:r>
      <w:r>
        <w:t xml:space="preserve">Priya Venkatesh</w:t>
      </w:r>
    </w:p>
    <w:p>
      <w:pPr>
        <w:pStyle w:val="BodyText"/>
      </w:pPr>
      <w:r>
        <w:rPr>
          <w:bCs/>
          <w:b/>
        </w:rPr>
        <w:t xml:space="preserve">Designation:</w:t>
      </w:r>
      <w:r>
        <w:t xml:space="preserve"> </w:t>
      </w:r>
      <w:r>
        <w:t xml:space="preserve">Managing Partner</w:t>
      </w:r>
    </w:p>
    <w:p>
      <w:pPr>
        <w:pStyle w:val="BodyText"/>
      </w:pPr>
      <w:r>
        <w:rPr>
          <w:bCs/>
          <w:b/>
        </w:rPr>
        <w:t xml:space="preserve">Signature:</w:t>
      </w:r>
      <w:r>
        <w:t xml:space="preserve"> </w:t>
      </w:r>
      <w:r>
        <w:t xml:space="preserve">___________________________</w:t>
      </w:r>
    </w:p>
    <w:p>
      <w:pPr>
        <w:pStyle w:val="BodyText"/>
      </w:pPr>
      <w:r>
        <w:rPr>
          <w:bCs/>
          <w:b/>
        </w:rPr>
        <w:t xml:space="preserve">Date:</w:t>
      </w:r>
      <w:r>
        <w:t xml:space="preserve"> </w:t>
      </w:r>
      <w:r>
        <w:t xml:space="preserve">_______________</w:t>
      </w:r>
    </w:p>
    <w:p>
      <w:pPr>
        <w:pStyle w:val="BodyText"/>
      </w:pPr>
      <w:r>
        <w:rPr>
          <w:bCs/>
          <w:b/>
        </w:rPr>
        <w:t xml:space="preserve">Place:</w:t>
      </w:r>
      <w:r>
        <w:t xml:space="preserve"> </w:t>
      </w:r>
      <w:r>
        <w:t xml:space="preserve">India Bangalore</w:t>
      </w:r>
    </w:p>
    <w:p>
      <w:pPr>
        <w:pStyle w:val="BodyText"/>
      </w:pPr>
      <w:r>
        <w:t xml:space="preserve">This Purchase Order (PO-MCA-2025-0472) is a controlled document. Unauthorized reproduction or distribution is prohibited.</w:t>
      </w:r>
      <w:r>
        <w:br/>
      </w:r>
      <w:r>
        <w:t xml:space="preserve">Issued by: Meridian Capital Advisory Pvt. Ltd.,</w:t>
      </w:r>
      <w:r>
        <w:t xml:space="preserve"> </w:t>
      </w:r>
      <w:r>
        <w:t xml:space="preserve">India Bangalore</w:t>
      </w:r>
      <w:r>
        <w:t xml:space="preserve"> </w:t>
      </w:r>
      <w:r>
        <w:t xml:space="preserve">— Procurement &amp; Vendor Management Department</w:t>
      </w:r>
      <w:r>
        <w:br/>
      </w:r>
      <w:r>
        <w:t xml:space="preserve">Document Version: 1.0 | Classification: Confidential</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Financial Analyst - India Bangalore</dc:title>
  <dc:creator/>
  <dc:language>en</dc:language>
  <cp:keywords/>
  <dcterms:created xsi:type="dcterms:W3CDTF">2026-10-10T06:23:09Z</dcterms:created>
  <dcterms:modified xsi:type="dcterms:W3CDTF">2026-10-10T06:23:09Z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