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PO No. IL-TLV-2025-04782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IL-TLV-2025-04782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 upon mutual agreement)</w:t>
            </w:r>
          </w:p>
        </w:tc>
      </w:tr>
      <w:tr>
        <w:tc>
          <w:tcPr/>
          <w:p>
            <w:pPr>
              <w:pStyle w:val="Compact"/>
              <w:jc w:val="left"/>
            </w:pPr>
            <w:r>
              <w:t xml:space="preserve">Currency</w:t>
            </w:r>
          </w:p>
        </w:tc>
        <w:tc>
          <w:tcPr/>
          <w:p>
            <w:pPr>
              <w:pStyle w:val="Compact"/>
              <w:jc w:val="left"/>
            </w:pPr>
            <w:r>
              <w:t xml:space="preserve">Israeli New Shekel (ILS / NIS)</w:t>
            </w:r>
          </w:p>
        </w:tc>
      </w:tr>
      <w:tr>
        <w:tc>
          <w:tcPr/>
          <w:p>
            <w:pPr>
              <w:pStyle w:val="Compact"/>
              <w:jc w:val="left"/>
            </w:pPr>
            <w:r>
              <w:t xml:space="preserve">Governing Jurisdiction</w:t>
            </w:r>
          </w:p>
        </w:tc>
        <w:tc>
          <w:tcPr/>
          <w:p>
            <w:pPr>
              <w:pStyle w:val="Compact"/>
              <w:jc w:val="left"/>
            </w:pPr>
            <w:r>
              <w:t xml:space="preserve">State of Israel — Tel Aviv District</w:t>
            </w:r>
          </w:p>
        </w:tc>
      </w:tr>
      <w:tr>
        <w:tc>
          <w:tcPr/>
          <w:p>
            <w:pPr>
              <w:pStyle w:val="Compact"/>
              <w:jc w:val="left"/>
            </w:pPr>
            <w:r>
              <w:t xml:space="preserve">Payment Terms</w:t>
            </w:r>
          </w:p>
        </w:tc>
        <w:tc>
          <w:tcPr/>
          <w:p>
            <w:pPr>
              <w:pStyle w:val="Compact"/>
              <w:jc w:val="left"/>
            </w:pPr>
            <w:r>
              <w:t xml:space="preserve">Net 30 days from invoice date, payable via bank transfer to a Tel Aviv-based account</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Company:</w:t>
      </w:r>
      <w:r>
        <w:t xml:space="preserve"> </w:t>
      </w:r>
      <w:r>
        <w:t xml:space="preserve">Levant Capital Advisory Group Ltd.</w:t>
      </w:r>
    </w:p>
    <w:p>
      <w:pPr>
        <w:pStyle w:val="BodyText"/>
      </w:pPr>
      <w:r>
        <w:rPr>
          <w:bCs/>
          <w:b/>
        </w:rPr>
        <w:t xml:space="preserve">Address:</w:t>
      </w:r>
      <w:r>
        <w:t xml:space="preserve"> </w:t>
      </w:r>
      <w:r>
        <w:t xml:space="preserve">45 Dizengoff Street, Tel Aviv-Yafo, Israel 6300000</w:t>
      </w:r>
    </w:p>
    <w:p>
      <w:pPr>
        <w:pStyle w:val="BodyText"/>
      </w:pPr>
      <w:r>
        <w:rPr>
          <w:bCs/>
          <w:b/>
        </w:rPr>
        <w:t xml:space="preserve">VAT Number:</w:t>
      </w:r>
      <w:r>
        <w:t xml:space="preserve"> </w:t>
      </w:r>
      <w:r>
        <w:t xml:space="preserve">51-804-221-77</w:t>
      </w:r>
    </w:p>
    <w:p>
      <w:pPr>
        <w:pStyle w:val="BodyText"/>
      </w:pPr>
      <w:r>
        <w:rPr>
          <w:bCs/>
          <w:b/>
        </w:rPr>
        <w:t xml:space="preserve">Contact:</w:t>
      </w:r>
      <w:r>
        <w:t xml:space="preserve"> </w:t>
      </w:r>
      <w:r>
        <w:t xml:space="preserve">Mr. David Ben-Ami, Head of Procurement</w:t>
      </w:r>
    </w:p>
    <w:p>
      <w:pPr>
        <w:pStyle w:val="BodyText"/>
      </w:pPr>
      <w:r>
        <w:rPr>
          <w:bCs/>
          <w:b/>
        </w:rPr>
        <w:t xml:space="preserve">Email:</w:t>
      </w:r>
      <w:r>
        <w:t xml:space="preserve"> </w:t>
      </w:r>
      <w:r>
        <w:t xml:space="preserve">procurement@levantcapital.co.il</w:t>
      </w:r>
    </w:p>
    <w:p>
      <w:pPr>
        <w:pStyle w:val="BodyText"/>
      </w:pPr>
      <w:r>
        <w:rPr>
          <w:bCs/>
          <w:b/>
        </w:rPr>
        <w:t xml:space="preserve">Phone:</w:t>
      </w:r>
      <w:r>
        <w:t xml:space="preserve"> </w:t>
      </w:r>
      <w:r>
        <w:t xml:space="preserve">+972-3-621-4488</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Meridian Analytics &amp; Consulting Services Ltd.</w:t>
      </w:r>
    </w:p>
    <w:p>
      <w:pPr>
        <w:pStyle w:val="BodyText"/>
      </w:pPr>
      <w:r>
        <w:rPr>
          <w:bCs/>
          <w:b/>
        </w:rPr>
        <w:t xml:space="preserve">Address:</w:t>
      </w:r>
      <w:r>
        <w:t xml:space="preserve"> </w:t>
      </w:r>
      <w:r>
        <w:t xml:space="preserve">12 HaYarkon Boulevard, Tel Aviv-Yafo, Israel 6777501</w:t>
      </w:r>
    </w:p>
    <w:p>
      <w:pPr>
        <w:pStyle w:val="BodyText"/>
      </w:pPr>
      <w:r>
        <w:rPr>
          <w:bCs/>
          <w:b/>
        </w:rPr>
        <w:t xml:space="preserve">VAT Number:</w:t>
      </w:r>
      <w:r>
        <w:t xml:space="preserve"> </w:t>
      </w:r>
      <w:r>
        <w:t xml:space="preserve">51-917-553-02</w:t>
      </w:r>
    </w:p>
    <w:p>
      <w:pPr>
        <w:pStyle w:val="BodyText"/>
      </w:pPr>
      <w:r>
        <w:rPr>
          <w:bCs/>
          <w:b/>
        </w:rPr>
        <w:t xml:space="preserve">Contact:</w:t>
      </w:r>
      <w:r>
        <w:t xml:space="preserve"> </w:t>
      </w:r>
      <w:r>
        <w:t xml:space="preserve">Ms. Rachel Goldstein, Director of Client Services</w:t>
      </w:r>
    </w:p>
    <w:p>
      <w:pPr>
        <w:pStyle w:val="BodyText"/>
      </w:pPr>
      <w:r>
        <w:rPr>
          <w:bCs/>
          <w:b/>
        </w:rPr>
        <w:t xml:space="preserve">Email:</w:t>
      </w:r>
      <w:r>
        <w:t xml:space="preserve"> </w:t>
      </w:r>
      <w:r>
        <w:t xml:space="preserve">r.goldstein@meridiananalytics.co.il</w:t>
      </w:r>
    </w:p>
    <w:p>
      <w:pPr>
        <w:pStyle w:val="BodyText"/>
      </w:pPr>
      <w:r>
        <w:rPr>
          <w:bCs/>
          <w:b/>
        </w:rPr>
        <w:t xml:space="preserve">Phone:</w:t>
      </w:r>
      <w:r>
        <w:t xml:space="preserve"> </w:t>
      </w:r>
      <w:r>
        <w:t xml:space="preserve">+972-3-887-2210</w:t>
      </w:r>
    </w:p>
    <w:bookmarkEnd w:id="23"/>
    <w:bookmarkEnd w:id="24"/>
    <w:bookmarkStart w:id="25" w:name="Xe29383a3e7400e656bb03abe686f7781af7618a"/>
    <w:p>
      <w:pPr>
        <w:pStyle w:val="Heading2"/>
      </w:pPr>
      <w:r>
        <w:t xml:space="preserve">3. Scope of Procurement — Financial Analyst Services</w:t>
      </w:r>
    </w:p>
    <w:p>
      <w:pPr>
        <w:pStyle w:val="FirstParagraph"/>
      </w:pPr>
      <w:r>
        <w:t xml:space="preserve">This Purchase Order is issued by Levant Capital Advisory Group Ltd. to procure the professional services of a qualified</w:t>
      </w:r>
      <w:r>
        <w:t xml:space="preserve"> </w:t>
      </w:r>
      <w:r>
        <w:t xml:space="preserve">Financial Analyst</w:t>
      </w:r>
      <w:r>
        <w:t xml:space="preserve"> </w:t>
      </w:r>
      <w:r>
        <w:t xml:space="preserve">to be deployed and operated within the Tel Aviv metropolitan area, Israel. The engagement is structured as a professional services contract under which the Supplier shall provide a dedicated Financial Analyst to support the Buyer's quantitative research, portfolio evaluation, and corporate finance functions. All work shall be performed in accordance with Israeli financial regulations, the standards set forth by the Israel Securities Authority (ISA), and the professional guidelines of the Israeli Institute of Finance Professionals.</w:t>
      </w:r>
    </w:p>
    <w:p>
      <w:pPr>
        <w:pStyle w:val="BodyText"/>
      </w:pPr>
      <w:r>
        <w:t xml:space="preserve">The Financial Analyst engaged under this Purchase Order shall be responsible for, but not limited to: conducting in-depth financial modeling and valuation of Israeli and international equity portfolios; preparing quarterly and annual financial reports compliant with Israeli Generally Accepted Accounting Principles (GAAP); performing risk assessments and stress-testing of investment positions; generating market intelligence reports focused on the Tel Aviv Stock Exchange (TASE) and global markets; and providing strategic advisory support to the Buyer's senior management team based in Tel Aviv.</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Senior Financial Analyst — Monthly Professional Fee (full-time engagement, Tel Aviv office-based)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Financial Modeling Software License &amp; Data Terminal Access (Bloomberg / Refinitiv) —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Onboarding, Compliance Training &amp; Israeli Regulatory Orientation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Quarterly Performance Review &amp; Strategic Advisory Session (Tel Aviv HQ)</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05</w:t>
            </w:r>
          </w:p>
        </w:tc>
        <w:tc>
          <w:tcPr/>
          <w:p>
            <w:pPr>
              <w:pStyle w:val="Compact"/>
              <w:jc w:val="left"/>
            </w:pPr>
            <w:r>
              <w:t xml:space="preserve">Contingency &amp; Overtime Provision (up to 10% of base fee)</w:t>
            </w:r>
          </w:p>
        </w:tc>
        <w:tc>
          <w:tcPr/>
          <w:p>
            <w:pPr>
              <w:pStyle w:val="Compact"/>
              <w:jc w:val="left"/>
            </w:pPr>
            <w:r>
              <w:t xml:space="preserve">Lot</w:t>
            </w:r>
          </w:p>
        </w:tc>
        <w:tc>
          <w:tcPr/>
          <w:p>
            <w:pPr>
              <w:pStyle w:val="Compact"/>
              <w:jc w:val="left"/>
            </w:pPr>
            <w:r>
              <w:t xml:space="preserve">1</w:t>
            </w:r>
          </w:p>
        </w:tc>
        <w:tc>
          <w:tcPr/>
          <w:p>
            <w:pPr>
              <w:pStyle w:val="Compact"/>
              <w:jc w:val="left"/>
            </w:pPr>
            <w:r>
              <w:t xml:space="preserve">58,200.00</w:t>
            </w:r>
          </w:p>
        </w:tc>
        <w:tc>
          <w:tcPr/>
          <w:p>
            <w:pPr>
              <w:pStyle w:val="Compact"/>
              <w:jc w:val="left"/>
            </w:pPr>
            <w:r>
              <w:t xml:space="preserve">58,200.00</w:t>
            </w:r>
          </w:p>
        </w:tc>
      </w:tr>
      <w:tr>
        <w:tc>
          <w:tcPr>
            <w:gridSpan w:val="5"/>
          </w:tcPr>
          <w:p>
            <w:pPr>
              <w:pStyle w:val="Compact"/>
              <w:jc w:val="left"/>
            </w:pPr>
            <w:r>
              <w:t xml:space="preserve">Subtotal</w:t>
            </w:r>
          </w:p>
        </w:tc>
        <w:tc>
          <w:tcPr/>
          <w:p>
            <w:pPr>
              <w:pStyle w:val="Compact"/>
              <w:jc w:val="left"/>
            </w:pPr>
            <w:r>
              <w:t xml:space="preserve">704,500.00</w:t>
            </w:r>
          </w:p>
        </w:tc>
      </w:tr>
      <w:tr>
        <w:tc>
          <w:tcPr>
            <w:gridSpan w:val="5"/>
          </w:tcPr>
          <w:p>
            <w:pPr>
              <w:pStyle w:val="Compact"/>
              <w:jc w:val="left"/>
            </w:pPr>
            <w:r>
              <w:t xml:space="preserve">VAT (18% — Israel Standard Rate)</w:t>
            </w:r>
          </w:p>
        </w:tc>
        <w:tc>
          <w:tcPr/>
          <w:p>
            <w:pPr>
              <w:pStyle w:val="Compact"/>
              <w:jc w:val="left"/>
            </w:pPr>
            <w:r>
              <w:t xml:space="preserve">126,810.00</w:t>
            </w:r>
          </w:p>
        </w:tc>
      </w:tr>
      <w:tr>
        <w:tc>
          <w:tcPr>
            <w:gridSpan w:val="5"/>
          </w:tcPr>
          <w:p>
            <w:pPr>
              <w:pStyle w:val="Compact"/>
              <w:jc w:val="left"/>
            </w:pPr>
            <w:r>
              <w:rPr>
                <w:bCs/>
                <w:b/>
              </w:rPr>
              <w:t xml:space="preserve">Total Purchase Order Value (ILS)</w:t>
            </w:r>
          </w:p>
        </w:tc>
        <w:tc>
          <w:tcPr/>
          <w:p>
            <w:pPr>
              <w:pStyle w:val="Compact"/>
              <w:jc w:val="left"/>
            </w:pPr>
            <w:r>
              <w:rPr>
                <w:bCs/>
                <w:b/>
              </w:rPr>
              <w:t xml:space="preserve">831,310.00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relating to the engagement of the Financial Analyst in Tel Aviv shall be subject to the exclusive jurisdiction of the competent courts in Tel Aviv-Yafo, Israel.</w:t>
      </w:r>
    </w:p>
    <w:p>
      <w:pPr>
        <w:numPr>
          <w:ilvl w:val="0"/>
          <w:numId w:val="1001"/>
        </w:numPr>
        <w:pStyle w:val="Compact"/>
      </w:pPr>
      <w:r>
        <w:rPr>
          <w:bCs/>
          <w:b/>
        </w:rPr>
        <w:t xml:space="preserve">Service Location:</w:t>
      </w:r>
      <w:r>
        <w:t xml:space="preserve"> </w:t>
      </w:r>
      <w:r>
        <w:t xml:space="preserve">All services rendered under this Purchase Order shall be performed at the Buyer's premises located in Tel Aviv, Israel, or at such other location within the Tel Aviv metropolitan area as mutually agreed in writing. The Financial Analyst shall be physically present at the designated Tel Aviv office no fewer than four (4) days per week.</w:t>
      </w:r>
    </w:p>
    <w:p>
      <w:pPr>
        <w:numPr>
          <w:ilvl w:val="0"/>
          <w:numId w:val="1001"/>
        </w:numPr>
        <w:pStyle w:val="Compact"/>
      </w:pPr>
      <w:r>
        <w:rPr>
          <w:bCs/>
          <w:b/>
        </w:rPr>
        <w:t xml:space="preserve">Qualifications:</w:t>
      </w:r>
      <w:r>
        <w:t xml:space="preserve"> </w:t>
      </w:r>
      <w:r>
        <w:t xml:space="preserve">The Financial Analyst assigned to this Purchase Order must hold a minimum of a Bachelor's degree in Finance, Accounting, or a related field from an accredited Israeli or internationally recognized university, and possess at least five (5) years of demonstrable experience in financial analysis, corporate finance, or investment research. Professional certification (CFA, CMA, or equivalent Israeli designation) is strongly preferred.</w:t>
      </w:r>
    </w:p>
    <w:p>
      <w:pPr>
        <w:numPr>
          <w:ilvl w:val="0"/>
          <w:numId w:val="1001"/>
        </w:numPr>
        <w:pStyle w:val="Compact"/>
      </w:pPr>
      <w:r>
        <w:rPr>
          <w:bCs/>
          <w:b/>
        </w:rPr>
        <w:t xml:space="preserve">Confidentiality &amp; Data Protection:</w:t>
      </w:r>
      <w:r>
        <w:t xml:space="preserve"> </w:t>
      </w:r>
      <w:r>
        <w:t xml:space="preserve">The Supplier and the assigned Financial Analyst shall comply with the Israeli Privacy Protection Law, 5741-1981, and all applicable data security regulations. All financial data, client information, and proprietary models accessed during the engagement in Tel Aviv shall be treated as strictly confidential and shall not be disclosed to any third party without prior written consent from the Buyer.</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via bank transfer to the Supplier's account held at a licensed Israeli bank in Tel Aviv. Late payments shall accrue interest at the rate prescribed under the Israeli Interest Law, 5713-1953.</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immediately upon written notice. Upon termination, the Supplier shall return all Buyer property, data, and documents within ten (10) business days.</w:t>
      </w:r>
    </w:p>
    <w:p>
      <w:pPr>
        <w:numPr>
          <w:ilvl w:val="0"/>
          <w:numId w:val="1001"/>
        </w:numPr>
        <w:pStyle w:val="Compact"/>
      </w:pPr>
      <w:r>
        <w:rPr>
          <w:bCs/>
          <w:b/>
        </w:rPr>
        <w:t xml:space="preserve">Compliance with Israeli Labor Law:</w:t>
      </w:r>
      <w:r>
        <w:t xml:space="preserve"> </w:t>
      </w:r>
      <w:r>
        <w:t xml:space="preserve">The Supplier is solely responsible for the employment, compensation, social security (Bituach Leumi), and tax obligations of the Financial Analyst. The Buyer assumes no employer liability under the Israeli Labor Law, 5736-1976, or the National Insurance Law, 5755-1995.</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Israel, or acts of war, provided that the affected party notifies the other within forty-eight (48) hours.</w:t>
      </w:r>
    </w:p>
    <w:p>
      <w:pPr>
        <w:numPr>
          <w:ilvl w:val="0"/>
          <w:numId w:val="1001"/>
        </w:numPr>
        <w:pStyle w:val="Compact"/>
      </w:pPr>
      <w:r>
        <w:rPr>
          <w:bCs/>
          <w:b/>
        </w:rPr>
        <w:t xml:space="preserve">Intellectual Property:</w:t>
      </w:r>
      <w:r>
        <w:t xml:space="preserve"> </w:t>
      </w:r>
      <w:r>
        <w:t xml:space="preserve">All reports, models, analyses, and deliverables produced by the Financial Analyst specifically for the Buyer under this Purchase Order shall be the exclusive intellectual property of the Buyer upon full payment. The Supplier retains ownership of pre-existing methodologies and tools.</w:t>
      </w:r>
    </w:p>
    <w:bookmarkEnd w:id="27"/>
    <w:bookmarkStart w:id="28" w:name="approval-and-authorization"/>
    <w:p>
      <w:pPr>
        <w:pStyle w:val="Heading2"/>
      </w:pPr>
      <w:r>
        <w:t xml:space="preserve">6. Approval and Authorization</w:t>
      </w:r>
    </w:p>
    <w:p>
      <w:pPr>
        <w:pStyle w:val="FirstParagraph"/>
      </w:pPr>
      <w:r>
        <w:t xml:space="preserve">This Purchase Order for the engagement of a Financial Analyst in Tel Aviv, Israel, is authorized and approved by the undersigned officers of Levant Capital Advisory Group Ltd. The Supplier acknowledges receipt and acceptance of all terms set forth herein by executing the signature block below.</w:t>
      </w:r>
    </w:p>
    <w:bookmarkEnd w:id="28"/>
    <w:p>
      <w:pPr>
        <w:pStyle w:val="BodyText"/>
      </w:pPr>
      <w:r>
        <w:rPr>
          <w:bCs/>
          <w:b/>
        </w:rPr>
        <w:t xml:space="preserve">For and on behalf of the Buyer:</w:t>
      </w:r>
    </w:p>
    <w:p>
      <w:pPr>
        <w:pStyle w:val="BodyText"/>
      </w:pPr>
      <w:r>
        <w:t xml:space="preserve">Levant Capital Advisory Group Ltd.</w:t>
      </w:r>
    </w:p>
    <w:p>
      <w:pPr>
        <w:pStyle w:val="BodyText"/>
      </w:pPr>
      <w:r>
        <w:t xml:space="preserve">Name: David Ben-Ami</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Meridian Analytics &amp; Consulting Services Ltd.</w:t>
      </w:r>
    </w:p>
    <w:p>
      <w:pPr>
        <w:pStyle w:val="BodyText"/>
      </w:pPr>
      <w:r>
        <w:t xml:space="preserve">Name: Rachel Goldstein</w:t>
      </w:r>
    </w:p>
    <w:p>
      <w:pPr>
        <w:pStyle w:val="BodyText"/>
      </w:pPr>
      <w:r>
        <w:t xml:space="preserve">Title: Director of Client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(IL-TLV-2025-04782) is a legally binding document issued under the commercial laws of the State of Israel. It pertains to the procurement of Financial Analyst professional services to be delivered in Tel Aviv, Israel. All communications regarding this Purchase Order shall be directed to the procurement office at Levant Capital Advisory Group Ltd., 45 Dizengoff Street, Tel Aviv-Yafo, Israel 6300000.</w:t>
      </w:r>
    </w:p>
    <w:p>
      <w:pPr>
        <w:pStyle w:val="BodyText"/>
      </w:pPr>
      <w:r>
        <w:t xml:space="preserve">© 2025 Levant Capital Advisory Group Ltd. All rights reserved. Document generated in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Israel Tel Aviv</dc:title>
  <dc:creator/>
  <dc:language>en</dc:language>
  <cp:keywords/>
  <dcterms:created xsi:type="dcterms:W3CDTF">2026-10-10T09:17:49Z</dcterms:created>
  <dcterms:modified xsi:type="dcterms:W3CDTF">2026-10-10T09:17:49Z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