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Van der Berg &amp; Partners B.V.</w:t>
      </w:r>
    </w:p>
    <w:p>
      <w:pPr>
        <w:pStyle w:val="BodyText"/>
      </w:pPr>
      <w:r>
        <w:t xml:space="preserve">Keizersgracht 214, 1016 DW Amsterdam, The Netherlands</w:t>
      </w:r>
    </w:p>
    <w:p>
      <w:pPr>
        <w:pStyle w:val="BodyText"/>
      </w:pPr>
      <w:r>
        <w:t xml:space="preserve">KvK: 87654321 | VAT: NL861234567B01 | Tel: +31 20 555 0142</w:t>
      </w:r>
    </w:p>
    <w:bookmarkEnd w:id="20"/>
    <w:p>
      <w:pPr>
        <w:pStyle w:val="BodyText"/>
      </w:pPr>
      <w:r>
        <w:rPr>
          <w:bCs/>
          <w:b/>
        </w:rPr>
        <w:t xml:space="preserve">Purchase Order No.:</w:t>
      </w:r>
      <w:r>
        <w:t xml:space="preserve"> </w:t>
      </w:r>
      <w:r>
        <w:t xml:space="preserve">PO-2025-AM-0487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Vendor / Supplier:</w:t>
      </w:r>
      <w:r>
        <w:t xml:space="preserve"> </w:t>
      </w:r>
      <w:r>
        <w:t xml:space="preserve">Meridian Talent Solutions B.V.</w:t>
      </w:r>
    </w:p>
    <w:p>
      <w:pPr>
        <w:pStyle w:val="BodyText"/>
      </w:pPr>
      <w:r>
        <w:rPr>
          <w:bCs/>
          <w:b/>
        </w:rPr>
        <w:t xml:space="preserve">Address:</w:t>
      </w:r>
      <w:r>
        <w:t xml:space="preserve"> </w:t>
      </w:r>
      <w:r>
        <w:t xml:space="preserve">Herengracht 450, 1017 CA Amsterdam, The Netherlands</w:t>
      </w:r>
    </w:p>
    <w:p>
      <w:pPr>
        <w:pStyle w:val="BodyText"/>
      </w:pPr>
      <w:r>
        <w:rPr>
          <w:bCs/>
          <w:b/>
        </w:rPr>
        <w:t xml:space="preserve">KvK:</w:t>
      </w:r>
      <w:r>
        <w:t xml:space="preserve"> </w:t>
      </w:r>
      <w:r>
        <w:t xml:space="preserve">91234567 | VAT: NL872345678B01</w:t>
      </w:r>
    </w:p>
    <w:p>
      <w:pPr>
        <w:pStyle w:val="BodyText"/>
      </w:pPr>
      <w:r>
        <w:rPr>
          <w:bCs/>
          <w:b/>
        </w:rPr>
        <w:t xml:space="preserve">Department:</w:t>
      </w:r>
      <w:r>
        <w:t xml:space="preserve"> </w:t>
      </w:r>
      <w:r>
        <w:t xml:space="preserve">Finance &amp; Corporate Strategy</w:t>
      </w:r>
    </w:p>
    <w:p>
      <w:pPr>
        <w:pStyle w:val="BodyText"/>
      </w:pPr>
      <w:r>
        <w:rPr>
          <w:bCs/>
          <w:b/>
        </w:rPr>
        <w:t xml:space="preserve">Cost Centre:</w:t>
      </w:r>
      <w:r>
        <w:t xml:space="preserve"> </w:t>
      </w:r>
      <w:r>
        <w:t xml:space="preserve">CC-2025-FIN-003</w:t>
      </w:r>
    </w:p>
    <w:p>
      <w:pPr>
        <w:pStyle w:val="BodyText"/>
      </w:pPr>
      <w:r>
        <w:rPr>
          <w:bCs/>
          <w:b/>
        </w:rPr>
        <w:t xml:space="preserve">Project Ref:</w:t>
      </w:r>
      <w:r>
        <w:t xml:space="preserve"> </w:t>
      </w:r>
      <w:r>
        <w:t xml:space="preserve">FA-AM-2025-Q3</w:t>
      </w:r>
    </w:p>
    <w:bookmarkStart w:id="21" w:name="description-of-procurement"/>
    <w:p>
      <w:pPr>
        <w:pStyle w:val="Heading2"/>
      </w:pPr>
      <w:r>
        <w:t xml:space="preserve">1. Description of Procurement</w:t>
      </w:r>
    </w:p>
    <w:p>
      <w:pPr>
        <w:pStyle w:val="FirstParagraph"/>
      </w:pPr>
      <w:r>
        <w:t xml:space="preserve">This Purchase Order is issued by Van der Berg &amp; Partners B.V. (hereinafter referred to as the "Purchaser") to Meridian Talent Solutions B.V. (hereinafter referred to as the "Supplier") for the recruitment, placement, and ongoing professional services of a qualified</w:t>
      </w:r>
      <w:r>
        <w:t xml:space="preserve"> </w:t>
      </w:r>
      <w:r>
        <w:t xml:space="preserve">Financial Analyst</w:t>
      </w:r>
      <w:r>
        <w:t xml:space="preserve"> </w:t>
      </w:r>
      <w:r>
        <w:t xml:space="preserve">to be based at the Purchaser's principal office in</w:t>
      </w:r>
      <w:r>
        <w:t xml:space="preserve"> </w:t>
      </w:r>
      <w:r>
        <w:t xml:space="preserve">Netherlands Amsterdam</w:t>
      </w:r>
      <w:r>
        <w:t xml:space="preserve">. The scope of this Purchase Order encompasses the full lifecycle of engagement, including candidate sourcing, vetting, onboarding, and a twelve-month retained advisory arrangement for the</w:t>
      </w:r>
      <w:r>
        <w:t xml:space="preserve"> </w:t>
      </w:r>
      <w:r>
        <w:t xml:space="preserve">Financial Analyst</w:t>
      </w:r>
      <w:r>
        <w:t xml:space="preserve"> </w:t>
      </w:r>
      <w:r>
        <w:t xml:space="preserve">role. All services shall be rendered in accordance with Dutch labour law, the applicable provisions of the Dutch Civil Code (Burgerlijk Wetboek), and the regulatory standards maintained by the Dutch Authority for the Financial Markets (AFM) where relevant to the</w:t>
      </w:r>
      <w:r>
        <w:t xml:space="preserve"> </w:t>
      </w:r>
      <w:r>
        <w:t xml:space="preserve">Financial Analyst</w:t>
      </w:r>
      <w:r>
        <w:t xml:space="preserve">'s operational duties.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placement of a senior</w:t>
            </w:r>
            <w:r>
              <w:t xml:space="preserve"> </w:t>
            </w:r>
            <w:r>
              <w:t xml:space="preserve">Financial Analyst</w:t>
            </w:r>
            <w:r>
              <w:t xml:space="preserve"> </w:t>
            </w:r>
            <w:r>
              <w:t xml:space="preserve">(minimum 5 years experience in corporate finance, FP&amp;A, and Dutch GAAP / IFRS reporting) for the</w:t>
            </w:r>
            <w:r>
              <w:t xml:space="preserve"> </w:t>
            </w:r>
            <w:r>
              <w:t xml:space="preserve">Netherlands Amsterdam</w:t>
            </w:r>
            <w:r>
              <w:t xml:space="preserve"> </w:t>
            </w:r>
            <w:r>
              <w:t xml:space="preserve">office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compliance verification, and integration support for the</w:t>
            </w:r>
            <w:r>
              <w:t xml:space="preserve"> </w:t>
            </w:r>
            <w:r>
              <w:t xml:space="preserve">Financial Analyst</w:t>
            </w:r>
            <w:r>
              <w:t xml:space="preserve"> </w:t>
            </w:r>
            <w:r>
              <w:t xml:space="preserve">into the</w:t>
            </w:r>
            <w:r>
              <w:t xml:space="preserve"> </w:t>
            </w:r>
            <w:r>
              <w:t xml:space="preserve">Netherlands Amsterdam</w:t>
            </w:r>
            <w:r>
              <w:t xml:space="preserve"> </w:t>
            </w:r>
            <w:r>
              <w:t xml:space="preserve">corporate finance team (including Dutch employment contract drafting, tax registration, and pension enrolment)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Twelve-month retained advisory and performance monitoring for the</w:t>
            </w:r>
            <w:r>
              <w:t xml:space="preserve"> </w:t>
            </w:r>
            <w:r>
              <w:t xml:space="preserve">Financial Analyst</w:t>
            </w:r>
            <w:r>
              <w:t xml:space="preserve"> </w:t>
            </w:r>
            <w:r>
              <w:t xml:space="preserve">role, including quarterly business reviews conducted at the</w:t>
            </w:r>
            <w:r>
              <w:t xml:space="preserve"> </w:t>
            </w:r>
            <w:r>
              <w:t xml:space="preserve">Netherlands Amsterdam</w:t>
            </w:r>
            <w:r>
              <w:t xml:space="preserve"> </w:t>
            </w:r>
            <w:r>
              <w:t xml:space="preserve">headquarters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Professional development and CPD (Continuing Professional Development) programme for the</w:t>
            </w:r>
            <w:r>
              <w:t xml:space="preserve"> </w:t>
            </w:r>
            <w:r>
              <w:t xml:space="preserve">Financial Analyst</w:t>
            </w:r>
            <w:r>
              <w:t xml:space="preserve">, aligned with the Dutch Institute of Financial Analysts (NIVRA) standards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Contingency replacement guarantee (90-day) for the</w:t>
            </w:r>
            <w:r>
              <w:t xml:space="preserve"> </w:t>
            </w:r>
            <w:r>
              <w:t xml:space="preserve">Financial Analyst</w:t>
            </w:r>
            <w:r>
              <w:t xml:space="preserve"> </w:t>
            </w:r>
            <w:r>
              <w:t xml:space="preserve">position in the event of early departure from the</w:t>
            </w:r>
            <w:r>
              <w:t xml:space="preserve"> </w:t>
            </w:r>
            <w:r>
              <w:t xml:space="preserve">Netherlands Amsterdam</w:t>
            </w:r>
            <w:r>
              <w:t xml:space="preserve"> </w:t>
            </w:r>
            <w:r>
              <w:t xml:space="preserve">office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Subtotal</w:t>
            </w:r>
          </w:p>
        </w:tc>
        <w:tc>
          <w:tcPr/>
          <w:p>
            <w:pPr>
              <w:pStyle w:val="Compact"/>
              <w:jc w:val="left"/>
            </w:pPr>
            <w:r>
              <w:t xml:space="preserve">51,000.00</w:t>
            </w:r>
          </w:p>
        </w:tc>
      </w:tr>
      <w:tr>
        <w:tc>
          <w:tcPr>
            <w:gridSpan w:val="4"/>
          </w:tcPr>
          <w:p>
            <w:pPr>
              <w:pStyle w:val="Compact"/>
              <w:jc w:val="left"/>
            </w:pPr>
            <w:r>
              <w:t xml:space="preserve">VAT (21% – Netherlands)</w:t>
            </w:r>
          </w:p>
        </w:tc>
        <w:tc>
          <w:tcPr/>
          <w:p>
            <w:pPr>
              <w:pStyle w:val="Compact"/>
              <w:jc w:val="left"/>
            </w:pPr>
            <w:r>
              <w:t xml:space="preserve">10,710.00</w:t>
            </w:r>
          </w:p>
        </w:tc>
      </w:tr>
      <w:tr>
        <w:tc>
          <w:tcPr>
            <w:gridSpan w:val="4"/>
          </w:tcPr>
          <w:p>
            <w:pPr>
              <w:pStyle w:val="Compact"/>
              <w:jc w:val="left"/>
            </w:pPr>
            <w:r>
              <w:rPr>
                <w:bCs/>
                <w:b/>
              </w:rPr>
              <w:t xml:space="preserve">Total Amount Due (EUR)</w:t>
            </w:r>
          </w:p>
        </w:tc>
        <w:tc>
          <w:tcPr/>
          <w:p>
            <w:pPr>
              <w:pStyle w:val="Compact"/>
              <w:jc w:val="left"/>
            </w:pPr>
            <w:r>
              <w:rPr>
                <w:bCs/>
                <w:b/>
              </w:rPr>
              <w:t xml:space="preserve">61,710.00</w:t>
            </w:r>
          </w:p>
        </w:tc>
      </w:tr>
    </w:tbl>
    <w:bookmarkEnd w:id="22"/>
    <w:bookmarkStart w:id="23" w:name="scope-of-the-financial-analyst-role"/>
    <w:p>
      <w:pPr>
        <w:pStyle w:val="Heading2"/>
      </w:pPr>
      <w:r>
        <w:t xml:space="preserve">3. Scope of the Financial Analyst Role</w:t>
      </w:r>
    </w:p>
    <w:p>
      <w:pPr>
        <w:pStyle w:val="FirstParagraph"/>
      </w:pPr>
      <w:r>
        <w:t xml:space="preserve">The</w:t>
      </w:r>
      <w:r>
        <w:t xml:space="preserve"> </w:t>
      </w:r>
      <w:r>
        <w:t xml:space="preserve">Financial Analyst</w:t>
      </w:r>
      <w:r>
        <w:t xml:space="preserve"> </w:t>
      </w:r>
      <w:r>
        <w:t xml:space="preserve">engaged under this Purchase Order shall be responsible for, but not limited to, the following duties performed at the</w:t>
      </w:r>
      <w:r>
        <w:t xml:space="preserve"> </w:t>
      </w:r>
      <w:r>
        <w:t xml:space="preserve">Netherlands Amsterdam</w:t>
      </w:r>
      <w:r>
        <w:t xml:space="preserve"> </w:t>
      </w:r>
      <w:r>
        <w:t xml:space="preserve">office:</w:t>
      </w:r>
    </w:p>
    <w:p>
      <w:pPr>
        <w:numPr>
          <w:ilvl w:val="0"/>
          <w:numId w:val="1001"/>
        </w:numPr>
        <w:pStyle w:val="Compact"/>
      </w:pPr>
      <w:r>
        <w:t xml:space="preserve">Preparation and maintenance of monthly, quarterly, and annual financial reports in compliance with Dutch GAAP and IFRS standards as applicable to the</w:t>
      </w:r>
      <w:r>
        <w:t xml:space="preserve"> </w:t>
      </w:r>
      <w:r>
        <w:t xml:space="preserve">Netherlands Amsterdam</w:t>
      </w:r>
      <w:r>
        <w:t xml:space="preserve"> </w:t>
      </w:r>
      <w:r>
        <w:t xml:space="preserve">entity.</w:t>
      </w:r>
    </w:p>
    <w:p>
      <w:pPr>
        <w:numPr>
          <w:ilvl w:val="0"/>
          <w:numId w:val="1001"/>
        </w:numPr>
        <w:pStyle w:val="Compact"/>
      </w:pPr>
      <w:r>
        <w:t xml:space="preserve">Development and management of financial models, budgeting cycles, and variance analyses to support strategic decision-making by the C-suite in</w:t>
      </w:r>
      <w:r>
        <w:t xml:space="preserve"> </w:t>
      </w:r>
      <w:r>
        <w:t xml:space="preserve">Netherlands Amsterdam</w:t>
      </w:r>
      <w:r>
        <w:t xml:space="preserve">.</w:t>
      </w:r>
    </w:p>
    <w:p>
      <w:pPr>
        <w:numPr>
          <w:ilvl w:val="0"/>
          <w:numId w:val="1001"/>
        </w:numPr>
        <w:pStyle w:val="Compact"/>
      </w:pPr>
      <w:r>
        <w:t xml:space="preserve">Coordination with external auditors, tax advisors, and the Dutch Tax Administration (Belastingdienst) regarding the</w:t>
      </w:r>
      <w:r>
        <w:t xml:space="preserve"> </w:t>
      </w:r>
      <w:r>
        <w:t xml:space="preserve">Financial Analyst</w:t>
      </w:r>
      <w:r>
        <w:t xml:space="preserve">'s reporting obligations.</w:t>
      </w:r>
    </w:p>
    <w:p>
      <w:pPr>
        <w:numPr>
          <w:ilvl w:val="0"/>
          <w:numId w:val="1001"/>
        </w:numPr>
        <w:pStyle w:val="Compact"/>
      </w:pPr>
      <w:r>
        <w:t xml:space="preserve">Monitoring of cash flow, working capital, and liquidity positions specific to the</w:t>
      </w:r>
      <w:r>
        <w:t xml:space="preserve"> </w:t>
      </w:r>
      <w:r>
        <w:t xml:space="preserve">Netherlands Amsterdam</w:t>
      </w:r>
      <w:r>
        <w:t xml:space="preserve"> </w:t>
      </w:r>
      <w:r>
        <w:t xml:space="preserve">operations.</w:t>
      </w:r>
    </w:p>
    <w:p>
      <w:pPr>
        <w:numPr>
          <w:ilvl w:val="0"/>
          <w:numId w:val="1001"/>
        </w:numPr>
        <w:pStyle w:val="Compact"/>
      </w:pPr>
      <w:r>
        <w:t xml:space="preserve">Ad hoc financial research, market analysis, and investment appraisal as directed by the Finance Director.</w:t>
      </w:r>
    </w:p>
    <w:bookmarkEnd w:id="23"/>
    <w:bookmarkStart w:id="24" w:name="payment-terms-and-conditions"/>
    <w:p>
      <w:pPr>
        <w:pStyle w:val="Heading2"/>
      </w:pPr>
      <w:r>
        <w:t xml:space="preserve">4. Payment Terms and Conditions</w:t>
      </w:r>
    </w:p>
    <w:p>
      <w:pPr>
        <w:numPr>
          <w:ilvl w:val="0"/>
          <w:numId w:val="1002"/>
        </w:numPr>
        <w:pStyle w:val="Compact"/>
      </w:pPr>
      <w:r>
        <w:rPr>
          <w:bCs/>
          <w:b/>
        </w:rPr>
        <w:t xml:space="preserve">Payment Schedule:</w:t>
      </w:r>
      <w:r>
        <w:t xml:space="preserve"> </w:t>
      </w:r>
      <w:r>
        <w:t xml:space="preserve">40% of the total Purchase Order value (EUR 24,684.00) shall be due within 30 days of the date of this Purchase Order. The remaining 60% (EUR 37,026.00) shall be payable in equal monthly instalments of EUR 3,085.50 over the subsequent twelve months, aligned with the retained advisory period for the</w:t>
      </w:r>
      <w:r>
        <w:t xml:space="preserve"> </w:t>
      </w:r>
      <w:r>
        <w:t xml:space="preserve">Financial Analyst</w:t>
      </w:r>
      <w:r>
        <w:t xml:space="preserve">.</w:t>
      </w:r>
    </w:p>
    <w:p>
      <w:pPr>
        <w:numPr>
          <w:ilvl w:val="0"/>
          <w:numId w:val="1002"/>
        </w:numPr>
        <w:pStyle w:val="Compact"/>
      </w:pPr>
      <w:r>
        <w:rPr>
          <w:bCs/>
          <w:b/>
        </w:rPr>
        <w:t xml:space="preserve">Payment Method:</w:t>
      </w:r>
      <w:r>
        <w:t xml:space="preserve"> </w:t>
      </w:r>
      <w:r>
        <w:t xml:space="preserve">All payments shall be made via SEPA bank transfer to the Supplier's designated account: IBAN NL91 ABNA 0417 1643 00, BIC ABNANL2A, held at ABN AMRO Bank N.V., Amsterdam.</w:t>
      </w:r>
    </w:p>
    <w:p>
      <w:pPr>
        <w:numPr>
          <w:ilvl w:val="0"/>
          <w:numId w:val="1002"/>
        </w:numPr>
        <w:pStyle w:val="Compact"/>
      </w:pPr>
      <w:r>
        <w:rPr>
          <w:bCs/>
          <w:b/>
        </w:rPr>
        <w:t xml:space="preserve">Invoicing:</w:t>
      </w:r>
      <w:r>
        <w:t xml:space="preserve"> </w:t>
      </w:r>
      <w:r>
        <w:t xml:space="preserve">The Supplier shall issue invoices referencing this Purchase Order number (PO-2025-AM-0487) and the</w:t>
      </w:r>
      <w:r>
        <w:t xml:space="preserve"> </w:t>
      </w:r>
      <w:r>
        <w:t xml:space="preserve">Financial Analyst</w:t>
      </w:r>
      <w:r>
        <w:t xml:space="preserve"> </w:t>
      </w:r>
      <w:r>
        <w:t xml:space="preserve">project reference (FA-AM-2025-Q3). Invoices must be submitted to accounts.payable@vanderbergpartners.nl no later than the 5th business day of each month.</w:t>
      </w:r>
    </w:p>
    <w:p>
      <w:pPr>
        <w:numPr>
          <w:ilvl w:val="0"/>
          <w:numId w:val="1002"/>
        </w:numPr>
        <w:pStyle w:val="Compact"/>
      </w:pPr>
      <w:r>
        <w:rPr>
          <w:bCs/>
          <w:b/>
        </w:rPr>
        <w:t xml:space="preserve">Late Payment:</w:t>
      </w:r>
      <w:r>
        <w:t xml:space="preserve"> </w:t>
      </w:r>
      <w:r>
        <w:t xml:space="preserve">In the event of late payment, interest shall accrue at the statutory rate as defined under Article 6:119a of the Dutch Civil Code, applicable to commercial transactions in</w:t>
      </w:r>
      <w:r>
        <w:t xml:space="preserve"> </w:t>
      </w:r>
      <w:r>
        <w:t xml:space="preserve">Netherlands Amsterdam</w:t>
      </w:r>
      <w:r>
        <w:t xml:space="preserve">.</w:t>
      </w:r>
    </w:p>
    <w:p>
      <w:pPr>
        <w:numPr>
          <w:ilvl w:val="0"/>
          <w:numId w:val="1002"/>
        </w:numPr>
        <w:pStyle w:val="Compact"/>
      </w:pPr>
      <w:r>
        <w:rPr>
          <w:bCs/>
          <w:b/>
        </w:rPr>
        <w:t xml:space="preserve">Dispute Resolution:</w:t>
      </w:r>
      <w:r>
        <w:t xml:space="preserve"> </w:t>
      </w:r>
      <w:r>
        <w:t xml:space="preserve">Any disputes arising from this Purchase Order shall be resolved through the Amsterdam Chamber of Commerce (Kamer van Koophandel Amsterdam) mediation process before escalation to the competent courts of the District Court of Amsterdam,</w:t>
      </w:r>
      <w:r>
        <w:t xml:space="preserve"> </w:t>
      </w:r>
      <w:r>
        <w:t xml:space="preserve">Netherlands</w:t>
      </w:r>
      <w:r>
        <w:t xml:space="preserve">.</w:t>
      </w:r>
    </w:p>
    <w:bookmarkEnd w:id="24"/>
    <w:bookmarkStart w:id="25" w:name="delivery-and-commencement"/>
    <w:p>
      <w:pPr>
        <w:pStyle w:val="Heading2"/>
      </w:pPr>
      <w:r>
        <w:t xml:space="preserve">5. Delivery and Commencement</w:t>
      </w:r>
    </w:p>
    <w:p>
      <w:pPr>
        <w:pStyle w:val="FirstParagraph"/>
      </w:pPr>
      <w:r>
        <w:t xml:space="preserve">The Supplier shall ensure that the</w:t>
      </w:r>
      <w:r>
        <w:t xml:space="preserve"> </w:t>
      </w:r>
      <w:r>
        <w:t xml:space="preserve">Financial Analyst</w:t>
      </w:r>
      <w:r>
        <w:t xml:space="preserve"> </w:t>
      </w:r>
      <w:r>
        <w:t xml:space="preserve">is fully onboarded and commencing duties at the</w:t>
      </w:r>
      <w:r>
        <w:t xml:space="preserve"> </w:t>
      </w:r>
      <w:r>
        <w:t xml:space="preserve">Netherlands Amsterdam</w:t>
      </w:r>
      <w:r>
        <w:t xml:space="preserve"> </w:t>
      </w:r>
      <w:r>
        <w:t xml:space="preserve">office no later than 1 September 2025. The Supplier warrants that the</w:t>
      </w:r>
      <w:r>
        <w:t xml:space="preserve"> </w:t>
      </w:r>
      <w:r>
        <w:t xml:space="preserve">Financial Analyst</w:t>
      </w:r>
      <w:r>
        <w:t xml:space="preserve"> </w:t>
      </w:r>
      <w:r>
        <w:t xml:space="preserve">shall possess a valid Dutch work permit or EU/EEA residence status, and that all employment documentation shall comply with the Dutch Working Conditions Act (Arbeidsomstandighedenwet) and the applicable collective labour agreement (CAO) for the financial services sector in</w:t>
      </w:r>
      <w:r>
        <w:t xml:space="preserve"> </w:t>
      </w:r>
      <w:r>
        <w:t xml:space="preserve">Netherlands Amsterdam</w:t>
      </w:r>
      <w:r>
        <w:t xml:space="preserve">.</w:t>
      </w:r>
    </w:p>
    <w:bookmarkEnd w:id="25"/>
    <w:bookmarkStart w:id="26" w:name="confidentiality-and-data-protection"/>
    <w:p>
      <w:pPr>
        <w:pStyle w:val="Heading2"/>
      </w:pPr>
      <w:r>
        <w:t xml:space="preserve">6. Confidentiality and Data Protection</w:t>
      </w:r>
    </w:p>
    <w:p>
      <w:pPr>
        <w:pStyle w:val="FirstParagraph"/>
      </w:pPr>
      <w:r>
        <w:t xml:space="preserve">Both parties acknowledge that the</w:t>
      </w:r>
      <w:r>
        <w:t xml:space="preserve"> </w:t>
      </w:r>
      <w:r>
        <w:t xml:space="preserve">Financial Analyst</w:t>
      </w:r>
      <w:r>
        <w:t xml:space="preserve"> </w:t>
      </w:r>
      <w:r>
        <w:t xml:space="preserve">will have access to sensitive financial data pertaining to the Purchaser's</w:t>
      </w:r>
      <w:r>
        <w:t xml:space="preserve"> </w:t>
      </w:r>
      <w:r>
        <w:t xml:space="preserve">Netherlands Amsterdam</w:t>
      </w:r>
      <w:r>
        <w:t xml:space="preserve"> </w:t>
      </w:r>
      <w:r>
        <w:t xml:space="preserve">operations. All personal data processed in connection with this Purchase Order shall be handled in strict compliance with the General Data Protection Regulation (GDPR) and the Dutch Implementation Act (Uitvoeringswet AVG). A separate Data Processing Agreement (DPA) shall be executed prior to the commencement of services.</w:t>
      </w:r>
    </w:p>
    <w:bookmarkEnd w:id="26"/>
    <w:bookmarkStart w:id="27" w:name="acceptance-and-authorisation"/>
    <w:p>
      <w:pPr>
        <w:pStyle w:val="Heading2"/>
      </w:pPr>
      <w:r>
        <w:t xml:space="preserve">7. Acceptance and Authorisation</w:t>
      </w:r>
    </w:p>
    <w:p>
      <w:pPr>
        <w:pStyle w:val="FirstParagraph"/>
      </w:pPr>
      <w:r>
        <w:t xml:space="preserve">This Purchase Order constitutes a binding offer for the procurement of the</w:t>
      </w:r>
      <w:r>
        <w:t xml:space="preserve"> </w:t>
      </w:r>
      <w:r>
        <w:t xml:space="preserve">Financial Analyst</w:t>
      </w:r>
      <w:r>
        <w:t xml:space="preserve"> </w:t>
      </w:r>
      <w:r>
        <w:t xml:space="preserve">services described herein. Acceptance by the Supplier shall be confirmed in writing within five (5) business days of receipt. This Purchase Order is governed by the laws of the Kingdom of the Netherlands, with the principal place of performance being</w:t>
      </w:r>
      <w:r>
        <w:t xml:space="preserve"> </w:t>
      </w:r>
      <w:r>
        <w:t xml:space="preserve">Netherlands Amsterdam</w:t>
      </w:r>
      <w:r>
        <w:t xml:space="preserve">.</w:t>
      </w:r>
    </w:p>
    <w:bookmarkEnd w:id="27"/>
    <w:p>
      <w:pPr>
        <w:pStyle w:val="BodyText"/>
      </w:pPr>
      <w:r>
        <w:rPr>
          <w:bCs/>
          <w:b/>
        </w:rPr>
        <w:t xml:space="preserve">For and on behalf of the Purchaser:</w:t>
      </w:r>
    </w:p>
    <w:p>
      <w:pPr>
        <w:pStyle w:val="BodyText"/>
      </w:pPr>
      <w:r>
        <w:t xml:space="preserve">Van der Berg &amp; Partners B.V.</w:t>
      </w:r>
    </w:p>
    <w:p>
      <w:pPr>
        <w:pStyle w:val="BodyText"/>
      </w:pPr>
      <w:r>
        <w:t xml:space="preserve">Name: Dr. Hendrik van der Berg</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Meridian Talent Solutions B.V.</w:t>
      </w:r>
    </w:p>
    <w:p>
      <w:pPr>
        <w:pStyle w:val="BodyText"/>
      </w:pPr>
      <w:r>
        <w:t xml:space="preserve">Name: Ms. Anouk de Vries</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PO-2025-AM-0487 | Van der Berg &amp; Partners B.V. | Keizersgracht 214, 1016 DW Amsterdam, The Netherlands</w:t>
      </w:r>
    </w:p>
    <w:p>
      <w:pPr>
        <w:pStyle w:val="BodyText"/>
      </w:pPr>
      <w:r>
        <w:t xml:space="preserve">This document is issued in accordance with Dutch commercial practice and the regulations of the</w:t>
      </w:r>
      <w:r>
        <w:t xml:space="preserve"> </w:t>
      </w:r>
      <w:r>
        <w:t xml:space="preserve">Netherlands Amsterdam</w:t>
      </w:r>
      <w:r>
        <w:t xml:space="preserve"> </w:t>
      </w:r>
      <w:r>
        <w:t xml:space="preserve">Chamber of Commerce. All references to the</w:t>
      </w:r>
      <w:r>
        <w:t xml:space="preserve"> </w:t>
      </w:r>
      <w:r>
        <w:t xml:space="preserve">Financial Analyst</w:t>
      </w:r>
      <w:r>
        <w:t xml:space="preserve"> </w:t>
      </w:r>
      <w:r>
        <w:t xml:space="preserve">role are subject to the terms set forth herein.</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Netherlands Amsterdam</dc:title>
  <dc:creator/>
  <dc:language>en</dc:language>
  <cp:keywords/>
  <dcterms:created xsi:type="dcterms:W3CDTF">2026-10-10T08:34:36Z</dcterms:created>
  <dcterms:modified xsi:type="dcterms:W3CDTF">2026-10-10T08:34:36Z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