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Russia</w:t>
      </w:r>
      <w:r>
        <w:t xml:space="preserve"> </w:t>
      </w:r>
      <w:r>
        <w:t xml:space="preserve">Moscow</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PO-RM-2025-04782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Country of Execution:</w:t>
      </w:r>
      <w:r>
        <w:t xml:space="preserve"> </w:t>
      </w:r>
      <w:r>
        <w:t xml:space="preserve">Russia Moscow</w:t>
      </w:r>
    </w:p>
    <w:p>
      <w:pPr>
        <w:pStyle w:val="BodyText"/>
      </w:pPr>
      <w:r>
        <w:rPr>
          <w:bCs/>
          <w:b/>
        </w:rPr>
        <w:t xml:space="preserve">Page:</w:t>
      </w:r>
      <w:r>
        <w:t xml:space="preserve"> </w:t>
      </w:r>
      <w:r>
        <w:t xml:space="preserve">1 of 3</w:t>
      </w:r>
      <w:r>
        <w:br/>
      </w:r>
      <w:r>
        <w:rPr>
          <w:bCs/>
          <w:b/>
        </w:rPr>
        <w:t xml:space="preserve">Classification:</w:t>
      </w:r>
      <w:r>
        <w:t xml:space="preserve"> </w:t>
      </w:r>
      <w:r>
        <w:t xml:space="preserve">Confidential</w:t>
      </w:r>
      <w:r>
        <w:br/>
      </w:r>
      <w:r>
        <w:rPr>
          <w:bCs/>
          <w:b/>
        </w:rPr>
        <w:t xml:space="preserve">Department:</w:t>
      </w:r>
      <w:r>
        <w:t xml:space="preserve"> </w:t>
      </w:r>
      <w:r>
        <w:t xml:space="preserve">Finance &amp; Analytics Division</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Registration No.</w:t>
            </w:r>
          </w:p>
        </w:tc>
      </w:tr>
      <w:tr>
        <w:tc>
          <w:tcPr/>
          <w:p>
            <w:pPr>
              <w:pStyle w:val="Compact"/>
              <w:jc w:val="left"/>
            </w:pPr>
            <w:r>
              <w:rPr>
                <w:bCs/>
                <w:b/>
              </w:rPr>
              <w:t xml:space="preserve">Buyer (Purchasing Entity)</w:t>
            </w:r>
          </w:p>
        </w:tc>
        <w:tc>
          <w:tcPr/>
          <w:p>
            <w:pPr>
              <w:pStyle w:val="Compact"/>
              <w:jc w:val="left"/>
            </w:pPr>
            <w:r>
              <w:t xml:space="preserve">Meridian Capital Holdings LLC</w:t>
            </w:r>
          </w:p>
        </w:tc>
        <w:tc>
          <w:tcPr/>
          <w:p>
            <w:pPr>
              <w:pStyle w:val="Compact"/>
              <w:jc w:val="left"/>
            </w:pPr>
            <w:r>
              <w:t xml:space="preserve">12 Tverskaya Street, Building 4, Floor 18, Moscow, 125009, Russian Federation</w:t>
            </w:r>
          </w:p>
        </w:tc>
        <w:tc>
          <w:tcPr/>
          <w:p>
            <w:pPr>
              <w:pStyle w:val="Compact"/>
              <w:jc w:val="left"/>
            </w:pPr>
            <w:r>
              <w:t xml:space="preserve">INN 7710456789 / OGRN 1157746001234</w:t>
            </w:r>
          </w:p>
        </w:tc>
      </w:tr>
      <w:tr>
        <w:tc>
          <w:tcPr/>
          <w:p>
            <w:pPr>
              <w:pStyle w:val="Compact"/>
              <w:jc w:val="left"/>
            </w:pPr>
            <w:r>
              <w:rPr>
                <w:bCs/>
                <w:b/>
              </w:rPr>
              <w:t xml:space="preserve">Supplier (Service Provider)</w:t>
            </w:r>
          </w:p>
        </w:tc>
        <w:tc>
          <w:tcPr/>
          <w:p>
            <w:pPr>
              <w:pStyle w:val="Compact"/>
              <w:jc w:val="left"/>
            </w:pPr>
            <w:r>
              <w:t xml:space="preserve">FinPro Analytics &amp; Advisory Group JSC</w:t>
            </w:r>
          </w:p>
        </w:tc>
        <w:tc>
          <w:tcPr/>
          <w:p>
            <w:pPr>
              <w:pStyle w:val="Compact"/>
              <w:jc w:val="left"/>
            </w:pPr>
            <w:r>
              <w:t xml:space="preserve">45 Leningradsky Prospekt, Office 210, Moscow, 125167, Russian Federation</w:t>
            </w:r>
          </w:p>
        </w:tc>
        <w:tc>
          <w:tcPr/>
          <w:p>
            <w:pPr>
              <w:pStyle w:val="Compact"/>
              <w:jc w:val="left"/>
            </w:pPr>
            <w:r>
              <w:t xml:space="preserve">INN 7721987654 / OGRN 1187746005678</w:t>
            </w:r>
          </w:p>
        </w:tc>
      </w:tr>
    </w:tbl>
    <w:bookmarkEnd w:id="20"/>
    <w:bookmarkStart w:id="21" w:name="description-of-purchased-services"/>
    <w:p>
      <w:pPr>
        <w:pStyle w:val="Heading2"/>
      </w:pPr>
      <w:r>
        <w:t xml:space="preserve">2. DESCRIPTION OF PURCHASED SERVICES</w:t>
      </w:r>
    </w:p>
    <w:p>
      <w:pPr>
        <w:pStyle w:val="FirstParagraph"/>
      </w:pPr>
      <w:r>
        <w:t xml:space="preserve">This Purchase Order is issued by Meridian Capital Holdings LLC (hereinafter referred to as the "Buyer") to FinPro Analytics &amp; Advisory Group JSC (hereinafter referred to as the "Supplier") for the procurement and engagement of a qualified</w:t>
      </w:r>
      <w:r>
        <w:t xml:space="preserve"> </w:t>
      </w:r>
      <w:r>
        <w:rPr>
          <w:bCs/>
          <w:b/>
        </w:rPr>
        <w:t xml:space="preserve">Financial Analyst</w:t>
      </w:r>
      <w:r>
        <w:t xml:space="preserve"> </w:t>
      </w:r>
      <w:r>
        <w:t xml:space="preserve">to provide comprehensive financial analysis, reporting, and strategic advisory services. The services described herein shall be performed exclusively within the jurisdiction of</w:t>
      </w:r>
      <w:r>
        <w:t xml:space="preserve"> </w:t>
      </w:r>
      <w:r>
        <w:rPr>
          <w:bCs/>
          <w:b/>
        </w:rPr>
        <w:t xml:space="preserve">Russia Moscow</w:t>
      </w:r>
      <w:r>
        <w:t xml:space="preserve">, specifically at the Buyer's principal office located at 12 Tverskaya Street, Building 4, Floor 18, Moscow, 125009, Russian Federation, unless otherwise directed in writing by the Buyer's Chief Financial Officer.</w:t>
      </w:r>
    </w:p>
    <w:p>
      <w:pPr>
        <w:pStyle w:val="BodyText"/>
      </w:pPr>
      <w:r>
        <w:t xml:space="preserve">The</w:t>
      </w:r>
      <w:r>
        <w:t xml:space="preserve"> </w:t>
      </w:r>
      <w:r>
        <w:rPr>
          <w:bCs/>
          <w:b/>
        </w:rPr>
        <w:t xml:space="preserve">Financial Analyst</w:t>
      </w:r>
      <w:r>
        <w:t xml:space="preserve"> </w:t>
      </w:r>
      <w:r>
        <w:t xml:space="preserve">engaged under this Purchase Order shall be responsible for, but not limited to, the following duties and deliverables:</w:t>
      </w:r>
    </w:p>
    <w:p>
      <w:pPr>
        <w:numPr>
          <w:ilvl w:val="0"/>
          <w:numId w:val="1001"/>
        </w:numPr>
        <w:pStyle w:val="Compact"/>
      </w:pPr>
      <w:r>
        <w:t xml:space="preserve">Preparation of monthly, quarterly, and annual financial statements in compliance with Russian Accounting Standards (RAS) and International Financial Reporting Standards (IFRS) as applicable to entities operating in</w:t>
      </w:r>
      <w:r>
        <w:t xml:space="preserve"> </w:t>
      </w:r>
      <w:r>
        <w:rPr>
          <w:bCs/>
          <w:b/>
        </w:rPr>
        <w:t xml:space="preserve">Russia Moscow</w:t>
      </w:r>
      <w:r>
        <w:t xml:space="preserve">.</w:t>
      </w:r>
    </w:p>
    <w:p>
      <w:pPr>
        <w:numPr>
          <w:ilvl w:val="0"/>
          <w:numId w:val="1001"/>
        </w:numPr>
        <w:pStyle w:val="Compact"/>
      </w:pPr>
      <w:r>
        <w:t xml:space="preserve">Development and maintenance of financial models for capital budgeting, cash flow forecasting, and investment return analysis tailored to the Buyer's portfolio of assets situated in the Moscow metropolitan region.</w:t>
      </w:r>
    </w:p>
    <w:p>
      <w:pPr>
        <w:numPr>
          <w:ilvl w:val="0"/>
          <w:numId w:val="1001"/>
        </w:numPr>
        <w:pStyle w:val="Compact"/>
      </w:pPr>
      <w:r>
        <w:t xml:space="preserve">Conducting variance analysis, budget-to-actual comparisons, and identification of cost-saving opportunities across all operational divisions of the Buyer headquartered in</w:t>
      </w:r>
      <w:r>
        <w:t xml:space="preserve"> </w:t>
      </w:r>
      <w:r>
        <w:rPr>
          <w:bCs/>
          <w:b/>
        </w:rPr>
        <w:t xml:space="preserve">Russia Moscow</w:t>
      </w:r>
      <w:r>
        <w:t xml:space="preserve">.</w:t>
      </w:r>
    </w:p>
    <w:p>
      <w:pPr>
        <w:numPr>
          <w:ilvl w:val="0"/>
          <w:numId w:val="1001"/>
        </w:numPr>
        <w:pStyle w:val="Compact"/>
      </w:pPr>
      <w:r>
        <w:t xml:space="preserve">Providing weekly analytical reports to the Buyer's Executive Management Committee, including but not limited to key performance indicators (KPIs), liquidity ratios, solvency metrics, and profitability assessments.</w:t>
      </w:r>
    </w:p>
    <w:p>
      <w:pPr>
        <w:numPr>
          <w:ilvl w:val="0"/>
          <w:numId w:val="1001"/>
        </w:numPr>
        <w:pStyle w:val="Compact"/>
      </w:pPr>
      <w:r>
        <w:t xml:space="preserve">Assisting the Buyer's internal audit team with data extraction, reconciliation, and documentation support for regulatory filings required by the Federal Tax Service of Russia and the Central Bank of the Russian Federation.</w:t>
      </w:r>
    </w:p>
    <w:p>
      <w:pPr>
        <w:numPr>
          <w:ilvl w:val="0"/>
          <w:numId w:val="1001"/>
        </w:numPr>
        <w:pStyle w:val="Compact"/>
      </w:pPr>
      <w:r>
        <w:t xml:space="preserve">Monitoring and reporting on foreign exchange risk exposure related to the Buyer's cross-border transactions, with particular attention to the ruble (RUB) exchange rate dynamics relevant to operations in</w:t>
      </w:r>
      <w:r>
        <w:t xml:space="preserve"> </w:t>
      </w:r>
      <w:r>
        <w:rPr>
          <w:bCs/>
          <w:b/>
        </w:rPr>
        <w:t xml:space="preserve">Russia Moscow</w:t>
      </w:r>
      <w:r>
        <w:t xml:space="preserve">.</w:t>
      </w:r>
    </w:p>
    <w:bookmarkEnd w:id="21"/>
    <w:bookmarkStart w:id="22" w:name="scope-duration-and-delivery-terms"/>
    <w:p>
      <w:pPr>
        <w:pStyle w:val="Heading2"/>
      </w:pPr>
      <w:r>
        <w:t xml:space="preserve">3. SCOPE, DURATION, AND DELIVERY TERMS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Full-time Financial Analyst engagement (40 hours/week) – Senior Level, minimum 7 years experience in corporate finance</w:t>
            </w:r>
          </w:p>
        </w:tc>
        <w:tc>
          <w:tcPr/>
          <w:p>
            <w:pPr>
              <w:pStyle w:val="Compact"/>
              <w:jc w:val="left"/>
            </w:pPr>
            <w:r>
              <w:t xml:space="preserve">12 months</w:t>
            </w:r>
          </w:p>
        </w:tc>
        <w:tc>
          <w:tcPr/>
          <w:p>
            <w:pPr>
              <w:pStyle w:val="Compact"/>
              <w:jc w:val="left"/>
            </w:pPr>
            <w:r>
              <w:t xml:space="preserve">485,000 / month</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Specialized financial modeling and valuation services (ad-hoc, up to 80 hours per quarter)</w:t>
            </w:r>
          </w:p>
        </w:tc>
        <w:tc>
          <w:tcPr/>
          <w:p>
            <w:pPr>
              <w:pStyle w:val="Compact"/>
              <w:jc w:val="left"/>
            </w:pPr>
            <w:r>
              <w:t xml:space="preserve">4 quarters</w:t>
            </w:r>
          </w:p>
        </w:tc>
        <w:tc>
          <w:tcPr/>
          <w:p>
            <w:pPr>
              <w:pStyle w:val="Compact"/>
              <w:jc w:val="left"/>
            </w:pPr>
            <w:r>
              <w:t xml:space="preserve">4,500 / hour</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Regulatory compliance reporting package (quarterly filings for Russia Moscow jurisdiction)</w:t>
            </w:r>
          </w:p>
        </w:tc>
        <w:tc>
          <w:tcPr/>
          <w:p>
            <w:pPr>
              <w:pStyle w:val="Compact"/>
              <w:jc w:val="left"/>
            </w:pPr>
            <w:r>
              <w:t xml:space="preserve">4 packages</w:t>
            </w:r>
          </w:p>
        </w:tc>
        <w:tc>
          <w:tcPr/>
          <w:p>
            <w:pPr>
              <w:pStyle w:val="Compact"/>
              <w:jc w:val="left"/>
            </w:pPr>
            <w:r>
              <w:t xml:space="preserve">185,000 / package</w:t>
            </w:r>
          </w:p>
        </w:tc>
        <w:tc>
          <w:tcPr/>
          <w:p>
            <w:pPr>
              <w:pStyle w:val="Compact"/>
              <w:jc w:val="left"/>
            </w:pPr>
            <w:r>
              <w:t xml:space="preserve">740,000</w:t>
            </w:r>
          </w:p>
        </w:tc>
      </w:tr>
      <w:tr>
        <w:tc>
          <w:tcPr/>
          <w:p>
            <w:pPr>
              <w:pStyle w:val="Compact"/>
              <w:jc w:val="left"/>
            </w:pPr>
            <w:r>
              <w:t xml:space="preserve">4</w:t>
            </w:r>
          </w:p>
        </w:tc>
        <w:tc>
          <w:tcPr/>
          <w:p>
            <w:pPr>
              <w:pStyle w:val="Compact"/>
              <w:jc w:val="left"/>
            </w:pPr>
            <w:r>
              <w:t xml:space="preserve">On-site training and knowledge transfer sessions for Buyer's internal finance team</w:t>
            </w:r>
          </w:p>
        </w:tc>
        <w:tc>
          <w:tcPr/>
          <w:p>
            <w:pPr>
              <w:pStyle w:val="Compact"/>
              <w:jc w:val="left"/>
            </w:pPr>
            <w:r>
              <w:t xml:space="preserve">6 sessions</w:t>
            </w:r>
          </w:p>
        </w:tc>
        <w:tc>
          <w:tcPr/>
          <w:p>
            <w:pPr>
              <w:pStyle w:val="Compact"/>
              <w:jc w:val="left"/>
            </w:pPr>
            <w:r>
              <w:t xml:space="preserve">95,000 / session</w:t>
            </w:r>
          </w:p>
        </w:tc>
        <w:tc>
          <w:tcPr/>
          <w:p>
            <w:pPr>
              <w:pStyle w:val="Compact"/>
              <w:jc w:val="left"/>
            </w:pPr>
            <w:r>
              <w:t xml:space="preserve">570,000</w:t>
            </w:r>
          </w:p>
        </w:tc>
      </w:tr>
      <w:tr>
        <w:tc>
          <w:tcPr>
            <w:gridSpan w:val="4"/>
          </w:tcPr>
          <w:p>
            <w:pPr>
              <w:pStyle w:val="Compact"/>
              <w:jc w:val="right"/>
            </w:pPr>
            <w:r>
              <w:rPr>
                <w:bCs/>
                <w:b/>
              </w:rPr>
              <w:t xml:space="preserve">Subtotal (excl. VAT):</w:t>
            </w:r>
          </w:p>
        </w:tc>
        <w:tc>
          <w:tcPr/>
          <w:p>
            <w:pPr>
              <w:pStyle w:val="Compact"/>
              <w:jc w:val="left"/>
            </w:pPr>
            <w:r>
              <w:rPr>
                <w:bCs/>
                <w:b/>
              </w:rPr>
              <w:t xml:space="preserve">8,570,000</w:t>
            </w:r>
          </w:p>
        </w:tc>
      </w:tr>
      <w:tr>
        <w:tc>
          <w:tcPr>
            <w:gridSpan w:val="4"/>
          </w:tcPr>
          <w:p>
            <w:pPr>
              <w:pStyle w:val="Compact"/>
              <w:jc w:val="right"/>
            </w:pPr>
            <w:r>
              <w:t xml:space="preserve">VAT (20% per Russian Federation tax code):</w:t>
            </w:r>
          </w:p>
        </w:tc>
        <w:tc>
          <w:tcPr/>
          <w:p>
            <w:pPr>
              <w:pStyle w:val="Compact"/>
              <w:jc w:val="left"/>
            </w:pPr>
            <w:r>
              <w:t xml:space="preserve">1,714,000</w:t>
            </w:r>
          </w:p>
        </w:tc>
      </w:tr>
      <w:tr>
        <w:tc>
          <w:tcPr>
            <w:gridSpan w:val="4"/>
          </w:tcPr>
          <w:p>
            <w:pPr>
              <w:pStyle w:val="Compact"/>
              <w:jc w:val="right"/>
            </w:pPr>
            <w:r>
              <w:rPr>
                <w:bCs/>
                <w:b/>
              </w:rPr>
              <w:t xml:space="preserve">TOTAL PURCHASE ORDER VALUE:</w:t>
            </w:r>
          </w:p>
        </w:tc>
        <w:tc>
          <w:tcPr/>
          <w:p>
            <w:pPr>
              <w:pStyle w:val="Compact"/>
              <w:jc w:val="left"/>
            </w:pPr>
            <w:r>
              <w:rPr>
                <w:bCs/>
                <w:b/>
              </w:rPr>
              <w:t xml:space="preserve">10,284,000</w:t>
            </w:r>
          </w:p>
        </w:tc>
      </w:tr>
    </w:tbl>
    <w:p>
      <w:pPr>
        <w:pStyle w:val="BodyText"/>
      </w:pPr>
      <w:r>
        <w:t xml:space="preserve">The engagement period for the</w:t>
      </w:r>
      <w:r>
        <w:t xml:space="preserve"> </w:t>
      </w:r>
      <w:r>
        <w:rPr>
          <w:bCs/>
          <w:b/>
        </w:rPr>
        <w:t xml:space="preserve">Financial Analyst</w:t>
      </w:r>
      <w:r>
        <w:t xml:space="preserve"> </w:t>
      </w:r>
      <w:r>
        <w:t xml:space="preserve">under this Purchase Order shall commence on 1 July 2025 and shall continue for a period of twelve (12) calendar months, concluding on 30 June 2026, unless extended by mutual written agreement of both parties. All services shall be rendered at the Buyer's premises in</w:t>
      </w:r>
      <w:r>
        <w:t xml:space="preserve"> </w:t>
      </w:r>
      <w:r>
        <w:rPr>
          <w:bCs/>
          <w:b/>
        </w:rPr>
        <w:t xml:space="preserve">Russia Moscow</w:t>
      </w:r>
      <w:r>
        <w:t xml:space="preserve"> </w:t>
      </w:r>
      <w:r>
        <w:t xml:space="preserve">during standard business hours (09:00 to 18:00, Monday through Friday, Moscow Standard Time, UTC+3), excluding Russian Federation public holidays as designated by the Government of the Russian Federation.</w:t>
      </w:r>
    </w:p>
    <w:bookmarkEnd w:id="22"/>
    <w:bookmarkStart w:id="23" w:name="payment-terms-and-conditions"/>
    <w:p>
      <w:pPr>
        <w:pStyle w:val="Heading2"/>
      </w:pPr>
      <w:r>
        <w:t xml:space="preserve">4. PAYMENT TERMS AND CONDITIONS</w:t>
      </w:r>
    </w:p>
    <w:p>
      <w:pPr>
        <w:pStyle w:val="FirstParagraph"/>
      </w:pPr>
      <w:r>
        <w:t xml:space="preserve">Payment for the services described in this Purchase Order shall be made in Russian Rubles (RUB) via bank transfer to the Supplier's designated account. The Buyer shall issue payment within thirty (30) calendar days from the date of receipt of a valid invoice from the Supplier. Invoices shall be submitted on a monthly basis by the fifth (5th) business day of the following month. Late payments shall accrue interest at a rate of 0.05% per calendar day on the outstanding balance, in accordance with Article 317.1 of the Civil Code of the Russian Federation. All payments are subject to the Buyer's standard accounts payable verification process and the Supplier's compliance with all applicable tax withholding obligations in</w:t>
      </w:r>
      <w:r>
        <w:t xml:space="preserve"> </w:t>
      </w:r>
      <w:r>
        <w:rPr>
          <w:bCs/>
          <w:b/>
        </w:rPr>
        <w:t xml:space="preserve">Russia Moscow</w:t>
      </w:r>
      <w:r>
        <w:t xml:space="preserve">.</w:t>
      </w:r>
    </w:p>
    <w:bookmarkEnd w:id="23"/>
    <w:bookmarkStart w:id="24" w:name="confidentiality-and-data-protection"/>
    <w:p>
      <w:pPr>
        <w:pStyle w:val="Heading2"/>
      </w:pPr>
      <w:r>
        <w:t xml:space="preserve">5. CONFIDENTIALITY AND DATA PROTECTION</w:t>
      </w:r>
    </w:p>
    <w:p>
      <w:pPr>
        <w:pStyle w:val="FirstParagraph"/>
      </w:pPr>
      <w:r>
        <w:t xml:space="preserve">The Supplier and the assigned</w:t>
      </w:r>
      <w:r>
        <w:t xml:space="preserve"> </w:t>
      </w:r>
      <w:r>
        <w:rPr>
          <w:bCs/>
          <w:b/>
        </w:rPr>
        <w:t xml:space="preserve">Financial Analyst</w:t>
      </w:r>
      <w:r>
        <w:t xml:space="preserve"> </w:t>
      </w:r>
      <w:r>
        <w:t xml:space="preserve">shall treat all financial data, proprietary models, client information, and internal reports of the Buyer as strictly confidential. No information pertaining to the Buyer's operations in</w:t>
      </w:r>
      <w:r>
        <w:t xml:space="preserve"> </w:t>
      </w:r>
      <w:r>
        <w:rPr>
          <w:bCs/>
          <w:b/>
        </w:rPr>
        <w:t xml:space="preserve">Russia Moscow</w:t>
      </w:r>
      <w:r>
        <w:t xml:space="preserve"> </w:t>
      </w:r>
      <w:r>
        <w:t xml:space="preserve">or any other jurisdiction shall be disclosed to third parties without prior written consent. This obligation shall survive the termination of this Purchase Order for a period of five (5) years. The Supplier shall ensure compliance with Federal Law No. 152-FZ "On Personal Data" of the Russian Federation in the handling of any personal data encountered during the performance of services.</w:t>
      </w:r>
    </w:p>
    <w:bookmarkEnd w:id="24"/>
    <w:bookmarkStart w:id="25" w:name="governing-law-and-dispute-resolution"/>
    <w:p>
      <w:pPr>
        <w:pStyle w:val="Heading2"/>
      </w:pPr>
      <w:r>
        <w:t xml:space="preserve">6. GOVERNING LAW AND DISPUTE RESOLUTION</w:t>
      </w:r>
    </w:p>
    <w:p>
      <w:pPr>
        <w:pStyle w:val="FirstParagraph"/>
      </w:pPr>
      <w:r>
        <w:t xml:space="preserve">This Purchase Order shall be governed by and construed in accordance with the laws of the Russian Federation. Any disputes arising out of or in connection with this Purchase Order, including disputes regarding the performance of the</w:t>
      </w:r>
      <w:r>
        <w:t xml:space="preserve"> </w:t>
      </w:r>
      <w:r>
        <w:rPr>
          <w:bCs/>
          <w:b/>
        </w:rPr>
        <w:t xml:space="preserve">Financial Analyst</w:t>
      </w:r>
      <w:r>
        <w:t xml:space="preserve">'s duties or the location of services in</w:t>
      </w:r>
      <w:r>
        <w:t xml:space="preserve"> </w:t>
      </w:r>
      <w:r>
        <w:rPr>
          <w:bCs/>
          <w:b/>
        </w:rPr>
        <w:t xml:space="preserve">Russia Moscow</w:t>
      </w:r>
      <w:r>
        <w:t xml:space="preserve">, shall be resolved through negotiation. Failing resolution within thirty (30) days, disputes shall be submitted to the Arbitration Court of the City of Moscow for final and binding adjudication.</w:t>
      </w:r>
    </w:p>
    <w:bookmarkEnd w:id="25"/>
    <w:bookmarkStart w:id="26" w:name="acceptance-and-authorization"/>
    <w:p>
      <w:pPr>
        <w:pStyle w:val="Heading2"/>
      </w:pPr>
      <w:r>
        <w:t xml:space="preserve">7. ACCEPTANCE AND AUTHORIZATION</w:t>
      </w:r>
    </w:p>
    <w:p>
      <w:pPr>
        <w:pStyle w:val="FirstParagraph"/>
      </w:pPr>
      <w:r>
        <w:t xml:space="preserve">This Purchase Order becomes effective upon signature by authorized representatives of both parties. The Buyer reserves the right to modify, suspend, or terminate this Purchase Order with thirty (30) days' written notice, subject to payment for services rendered up to the date of termination.</w:t>
      </w:r>
    </w:p>
    <w:p>
      <w:pPr>
        <w:pStyle w:val="BodyText"/>
      </w:pPr>
      <w:r>
        <w:rPr>
          <w:bCs/>
          <w:b/>
        </w:rPr>
        <w:t xml:space="preserve">For and on behalf of the Buyer:</w:t>
      </w:r>
      <w:r>
        <w:br/>
      </w:r>
      <w:r>
        <w:br/>
      </w:r>
      <w:r>
        <w:t xml:space="preserve">Name: Alexander V. Petrov</w:t>
      </w:r>
      <w:r>
        <w:br/>
      </w:r>
      <w:r>
        <w:t xml:space="preserve">Title: Chief Financial Officer, Meridian Capital Holdings LLC</w:t>
      </w:r>
      <w:r>
        <w:br/>
      </w:r>
      <w:r>
        <w:t xml:space="preserve">Date: _________________________</w:t>
      </w:r>
      <w:r>
        <w:br/>
      </w:r>
      <w:r>
        <w:t xml:space="preserve">Signature: _________________________</w:t>
      </w:r>
      <w:r>
        <w:br/>
      </w:r>
      <w:r>
        <w:t xml:space="preserve">Company Seal:</w:t>
      </w:r>
    </w:p>
    <w:p>
      <w:pPr>
        <w:pStyle w:val="BodyText"/>
      </w:pPr>
      <w:r>
        <w:rPr>
          <w:bCs/>
          <w:b/>
        </w:rPr>
        <w:t xml:space="preserve">For and on behalf of the Supplier:</w:t>
      </w:r>
      <w:r>
        <w:br/>
      </w:r>
      <w:r>
        <w:br/>
      </w:r>
      <w:r>
        <w:t xml:space="preserve">Name: Elena S. Volkova</w:t>
      </w:r>
      <w:r>
        <w:br/>
      </w:r>
      <w:r>
        <w:t xml:space="preserve">Title: Director of Client Services, FinPro Analytics &amp; Advisory Group JSC</w:t>
      </w:r>
      <w:r>
        <w:br/>
      </w:r>
      <w:r>
        <w:t xml:space="preserve">Date: _________________________</w:t>
      </w:r>
      <w:r>
        <w:br/>
      </w:r>
      <w:r>
        <w:t xml:space="preserve">Signature: _________________________</w:t>
      </w:r>
      <w:r>
        <w:br/>
      </w:r>
      <w:r>
        <w:t xml:space="preserve">Company Seal:</w:t>
      </w:r>
    </w:p>
    <w:p>
      <w:pPr>
        <w:pStyle w:val="BodyText"/>
      </w:pPr>
      <w:r>
        <w:t xml:space="preserve">This Purchase Order (PO-RM-2025-04782) constitutes a binding procurement document for the engagement of a Financial Analyst by Meridian Capital Holdings LLC for services to be performed in Russia Moscow. This document is issued in accordance with the Buyer's internal procurement policy and applicable Russian Federation commercial legislation. Unauthorized reproduction or distribution of this Purchase Order is strictly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Russia Moscow</dc:title>
  <dc:creator/>
  <dc:language>en</dc:language>
  <cp:keywords/>
  <dcterms:created xsi:type="dcterms:W3CDTF">2026-10-10T08:38:22Z</dcterms:created>
  <dcterms:modified xsi:type="dcterms:W3CDTF">2026-10-10T08:38:22Z</dcterms:modified>
</cp:coreProperties>
</file>

<file path=docProps/custom.xml><?xml version="1.0" encoding="utf-8"?>
<Properties xmlns="http://schemas.openxmlformats.org/officeDocument/2006/custom-properties" xmlns:vt="http://schemas.openxmlformats.org/officeDocument/2006/docPropsVTypes"/>
</file>