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Services – Financial Analyst Engagement</w:t>
      </w:r>
    </w:p>
    <w:p>
      <w:pPr>
        <w:pStyle w:val="BodyText"/>
      </w:pPr>
      <w:r>
        <w:t xml:space="preserve">Saudi Arabia Riyadh</w:t>
      </w:r>
      <w:r>
        <w:t xml:space="preserve"> </w:t>
      </w:r>
      <w:r>
        <w:t xml:space="preserve"> |  Kingdom of Saudi Arabia</w:t>
      </w:r>
    </w:p>
    <w:bookmarkEnd w:id="20"/>
    <w:p>
      <w:pPr>
        <w:pStyle w:val="BodyText"/>
      </w:pPr>
      <w:r>
        <w:rPr>
          <w:bCs/>
          <w:b/>
        </w:rPr>
        <w:t xml:space="preserve">Purchase Order No.:</w:t>
      </w:r>
      <w:r>
        <w:t xml:space="preserve"> </w:t>
      </w:r>
      <w:r>
        <w:t xml:space="preserve">PO-SA-RYD-2025-04872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Finance &amp; Strategic Planning</w:t>
      </w:r>
      <w:r>
        <w:br/>
      </w:r>
      <w:r>
        <w:rPr>
          <w:bCs/>
          <w:b/>
        </w:rPr>
        <w:t xml:space="preserve">Location:</w:t>
      </w:r>
      <w:r>
        <w:t xml:space="preserve"> </w:t>
      </w:r>
      <w:r>
        <w:t xml:space="preserve">Riyadh, Saudi Arabia</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Al-Riyadh Financial Group (ARFG)</w:t>
            </w:r>
          </w:p>
        </w:tc>
        <w:tc>
          <w:tcPr/>
          <w:p>
            <w:pPr>
              <w:pStyle w:val="Compact"/>
              <w:jc w:val="left"/>
            </w:pPr>
            <w:r>
              <w:rPr>
                <w:bCs/>
                <w:b/>
              </w:rPr>
              <w:t xml:space="preserve">CR Number:</w:t>
            </w:r>
            <w:r>
              <w:t xml:space="preserve"> </w:t>
            </w:r>
            <w:r>
              <w:t xml:space="preserve">1010XXXXXX</w:t>
            </w:r>
          </w:p>
        </w:tc>
      </w:tr>
      <w:tr>
        <w:tc>
          <w:tcPr/>
          <w:p>
            <w:pPr>
              <w:pStyle w:val="Compact"/>
              <w:jc w:val="left"/>
            </w:pPr>
            <w:r>
              <w:rPr>
                <w:bCs/>
                <w:b/>
              </w:rPr>
              <w:t xml:space="preserve">Address:</w:t>
            </w:r>
            <w:r>
              <w:t xml:space="preserve"> </w:t>
            </w:r>
            <w:r>
              <w:t xml:space="preserve">King Fahd Road, Al Olaya District, Riyadh 12212, Saudi Arabia</w:t>
            </w:r>
          </w:p>
        </w:tc>
        <w:tc>
          <w:tcPr/>
          <w:p>
            <w:pPr>
              <w:pStyle w:val="Compact"/>
              <w:jc w:val="left"/>
            </w:pPr>
            <w:r>
              <w:rPr>
                <w:bCs/>
                <w:b/>
              </w:rPr>
              <w:t xml:space="preserve">VAT Number:</w:t>
            </w:r>
            <w:r>
              <w:t xml:space="preserve"> </w:t>
            </w:r>
            <w:r>
              <w:t xml:space="preserve">3101XXXXXX00003</w:t>
            </w:r>
          </w:p>
        </w:tc>
      </w:tr>
      <w:tr>
        <w:tc>
          <w:tcPr/>
          <w:p>
            <w:pPr>
              <w:pStyle w:val="Compact"/>
              <w:jc w:val="left"/>
            </w:pPr>
            <w:r>
              <w:rPr>
                <w:bCs/>
                <w:b/>
              </w:rPr>
              <w:t xml:space="preserve">Contact Person:</w:t>
            </w:r>
            <w:r>
              <w:t xml:space="preserve"> </w:t>
            </w:r>
            <w:r>
              <w:t xml:space="preserve">Mr. Khalid Al-Otaibi, Head of Procurement</w:t>
            </w:r>
          </w:p>
        </w:tc>
        <w:tc>
          <w:tcPr/>
          <w:p>
            <w:pPr>
              <w:pStyle w:val="Compact"/>
              <w:jc w:val="left"/>
            </w:pPr>
            <w:r>
              <w:rPr>
                <w:bCs/>
                <w:b/>
              </w:rPr>
              <w:t xml:space="preserve">Email:</w:t>
            </w:r>
            <w:r>
              <w:t xml:space="preserve"> </w:t>
            </w:r>
            <w:r>
              <w:t xml:space="preserve">procurement@arfg-sa.com</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Analytics &amp; Advisory Solutions LLC</w:t>
            </w:r>
          </w:p>
        </w:tc>
        <w:tc>
          <w:tcPr/>
          <w:p>
            <w:pPr>
              <w:pStyle w:val="Compact"/>
              <w:jc w:val="left"/>
            </w:pPr>
            <w:r>
              <w:rPr>
                <w:bCs/>
                <w:b/>
              </w:rPr>
              <w:t xml:space="preserve">CR Number:</w:t>
            </w:r>
            <w:r>
              <w:t xml:space="preserve"> </w:t>
            </w:r>
            <w:r>
              <w:t xml:space="preserve">1010YYYYYY</w:t>
            </w:r>
          </w:p>
        </w:tc>
      </w:tr>
      <w:tr>
        <w:tc>
          <w:tcPr/>
          <w:p>
            <w:pPr>
              <w:pStyle w:val="Compact"/>
              <w:jc w:val="left"/>
            </w:pPr>
            <w:r>
              <w:rPr>
                <w:bCs/>
                <w:b/>
              </w:rPr>
              <w:t xml:space="preserve">Address:</w:t>
            </w:r>
            <w:r>
              <w:t xml:space="preserve"> </w:t>
            </w:r>
            <w:r>
              <w:t xml:space="preserve">Olaya Towers, 14th Floor, King Fahd Road, Riyadh 12211, Saudi Arabia</w:t>
            </w:r>
          </w:p>
        </w:tc>
        <w:tc>
          <w:tcPr/>
          <w:p>
            <w:pPr>
              <w:pStyle w:val="Compact"/>
              <w:jc w:val="left"/>
            </w:pPr>
            <w:r>
              <w:rPr>
                <w:bCs/>
                <w:b/>
              </w:rPr>
              <w:t xml:space="preserve">VAT Number:</w:t>
            </w:r>
            <w:r>
              <w:t xml:space="preserve"> </w:t>
            </w:r>
            <w:r>
              <w:t xml:space="preserve">3102YYYYYY00003</w:t>
            </w:r>
          </w:p>
        </w:tc>
      </w:tr>
      <w:tr>
        <w:tc>
          <w:tcPr/>
          <w:p>
            <w:pPr>
              <w:pStyle w:val="Compact"/>
              <w:jc w:val="left"/>
            </w:pPr>
            <w:r>
              <w:rPr>
                <w:bCs/>
                <w:b/>
              </w:rPr>
              <w:t xml:space="preserve">Contact Person:</w:t>
            </w:r>
            <w:r>
              <w:t xml:space="preserve"> </w:t>
            </w:r>
            <w:r>
              <w:t xml:space="preserve">Ms. Sarah Al-Harbi, Account Director</w:t>
            </w:r>
          </w:p>
        </w:tc>
        <w:tc>
          <w:tcPr/>
          <w:p>
            <w:pPr>
              <w:pStyle w:val="Compact"/>
              <w:jc w:val="left"/>
            </w:pPr>
            <w:r>
              <w:rPr>
                <w:bCs/>
                <w:b/>
              </w:rPr>
              <w:t xml:space="preserve">Email:</w:t>
            </w:r>
            <w:r>
              <w:t xml:space="preserve"> </w:t>
            </w:r>
            <w:r>
              <w:t xml:space="preserve">contracts@gulfanalytics-sa.com</w:t>
            </w:r>
          </w:p>
        </w:tc>
      </w:tr>
    </w:tbl>
    <w:p>
      <w:pPr>
        <w:pStyle w:val="BodyText"/>
      </w:pPr>
      <w:r>
        <w:t xml:space="preserve">3. Scope of Purchase – Financial Analyst Services</w:t>
      </w:r>
    </w:p>
    <w:p>
      <w:pPr>
        <w:pStyle w:val="BodyText"/>
      </w:pPr>
      <w:r>
        <w:t xml:space="preserve">This Purchase Order is issued by Al-Riyadh Financial Group to formally procure the professional services of a qualified</w:t>
      </w:r>
      <w:r>
        <w:t xml:space="preserve"> </w:t>
      </w:r>
      <w:r>
        <w:rPr>
          <w:bCs/>
          <w:b/>
        </w:rPr>
        <w:t xml:space="preserve">Financial Analyst</w:t>
      </w:r>
      <w:r>
        <w:t xml:space="preserve"> </w:t>
      </w:r>
      <w:r>
        <w:t xml:space="preserve">to be deployed at the Riyadh, Saudi Arabia headquarters. The engagement is designed to support the company's fiscal year 2025–2026 financial planning, budgeting, variance analysis, and investment portfolio evaluation. The Financial Analyst shall operate under the direct supervision of the Chief Financial Officer and shall comply with all applicable regulations set forth by the Saudi Central Bank (SAMA) and the Capital Market Authority (CMA) of Saudi Arabia.</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Financial Analyst – Monthly Retainer (Full-time, Riyadh office)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Financial Modeling &amp; Forecasting Deliverables (Quarterly Reports)</w:t>
            </w:r>
          </w:p>
        </w:tc>
        <w:tc>
          <w:tcPr/>
          <w:p>
            <w:pPr>
              <w:pStyle w:val="Compact"/>
              <w:jc w:val="left"/>
            </w:pPr>
            <w:r>
              <w:t xml:space="preserve">4 quarters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Investment Portfolio Risk Assessment (One-time)</w:t>
            </w:r>
          </w:p>
        </w:tc>
        <w:tc>
          <w:tcPr/>
          <w:p>
            <w:pPr>
              <w:pStyle w:val="Compact"/>
              <w:jc w:val="left"/>
            </w:pPr>
            <w:r>
              <w:t xml:space="preserve">1 engagement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Regulatory Compliance Review – SAMA &amp; CMA Alignment</w:t>
            </w:r>
          </w:p>
        </w:tc>
        <w:tc>
          <w:tcPr/>
          <w:p>
            <w:pPr>
              <w:pStyle w:val="Compact"/>
              <w:jc w:val="left"/>
            </w:pPr>
            <w:r>
              <w:t xml:space="preserve">2 reviews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Onboarding, Training &amp; Knowledge Transfer (Riyadh, Saudi Arabia)</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17,000.00</w:t>
            </w:r>
          </w:p>
        </w:tc>
      </w:tr>
      <w:tr>
        <w:tc>
          <w:tcPr>
            <w:gridSpan w:val="4"/>
          </w:tcPr>
          <w:p>
            <w:pPr>
              <w:pStyle w:val="Compact"/>
              <w:jc w:val="right"/>
            </w:pPr>
            <w:r>
              <w:t xml:space="preserve">Subtotal (SAR)</w:t>
            </w:r>
          </w:p>
        </w:tc>
        <w:tc>
          <w:tcPr/>
          <w:p>
            <w:pPr>
              <w:pStyle w:val="Compact"/>
              <w:jc w:val="left"/>
            </w:pPr>
            <w:r>
              <w:t xml:space="preserve">687,000.00</w:t>
            </w:r>
          </w:p>
        </w:tc>
      </w:tr>
      <w:tr>
        <w:tc>
          <w:tcPr>
            <w:gridSpan w:val="4"/>
          </w:tcPr>
          <w:p>
            <w:pPr>
              <w:pStyle w:val="Compact"/>
              <w:jc w:val="right"/>
            </w:pPr>
            <w:r>
              <w:t xml:space="preserve">VAT @ 15% (Saudi Arabia)</w:t>
            </w:r>
          </w:p>
        </w:tc>
        <w:tc>
          <w:tcPr/>
          <w:p>
            <w:pPr>
              <w:pStyle w:val="Compact"/>
              <w:jc w:val="left"/>
            </w:pPr>
            <w:r>
              <w:t xml:space="preserve">103,050.00</w:t>
            </w:r>
          </w:p>
        </w:tc>
      </w:tr>
      <w:tr>
        <w:tc>
          <w:tcPr>
            <w:gridSpan w:val="4"/>
          </w:tcPr>
          <w:p>
            <w:pPr>
              <w:pStyle w:val="Compact"/>
              <w:jc w:val="right"/>
            </w:pPr>
            <w:r>
              <w:t xml:space="preserve">TOTAL AMOUNT DUE (SAR)</w:t>
            </w:r>
          </w:p>
        </w:tc>
        <w:tc>
          <w:tcPr/>
          <w:p>
            <w:pPr>
              <w:pStyle w:val="Compact"/>
              <w:jc w:val="left"/>
            </w:pPr>
            <w:r>
              <w:t xml:space="preserve">790,050.00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All payments shall be processed via bank transfer to the supplier's designated account in Saudi Arabia. The currency of this Purchase Order is the Saudi Riyal (SAR).</w:t>
      </w:r>
    </w:p>
    <w:p>
      <w:pPr>
        <w:numPr>
          <w:ilvl w:val="0"/>
          <w:numId w:val="1001"/>
        </w:numPr>
        <w:pStyle w:val="Compact"/>
      </w:pPr>
      <w:r>
        <w:rPr>
          <w:bCs/>
          <w:b/>
        </w:rPr>
        <w:t xml:space="preserve">Service Location:</w:t>
      </w:r>
      <w:r>
        <w:t xml:space="preserve"> </w:t>
      </w:r>
      <w:r>
        <w:t xml:space="preserve">All services under this Purchase Order shall be rendered at the Al-Riyadh Financial Group premises located in Riyadh, Saudi Arabia, or at such other location within the Kingdom as mutually agreed in writing.</w:t>
      </w:r>
    </w:p>
    <w:p>
      <w:pPr>
        <w:numPr>
          <w:ilvl w:val="0"/>
          <w:numId w:val="1001"/>
        </w:numPr>
        <w:pStyle w:val="Compact"/>
      </w:pPr>
      <w:r>
        <w:rPr>
          <w:bCs/>
          <w:b/>
        </w:rPr>
        <w:t xml:space="preserve">Performance Standards:</w:t>
      </w:r>
      <w:r>
        <w:t xml:space="preserve"> </w:t>
      </w:r>
      <w:r>
        <w:t xml:space="preserve">The Financial Analyst shall deliver all reports, models, and analyses in accordance with International Financial Reporting Standards (IFRS) and in compliance with the regulatory framework of Saudi Arabia. Deliverables are due within five (5) business days of the end of each reporting period.</w:t>
      </w:r>
    </w:p>
    <w:p>
      <w:pPr>
        <w:numPr>
          <w:ilvl w:val="0"/>
          <w:numId w:val="1001"/>
        </w:numPr>
        <w:pStyle w:val="Compact"/>
      </w:pPr>
      <w:r>
        <w:rPr>
          <w:bCs/>
          <w:b/>
        </w:rPr>
        <w:t xml:space="preserve">Confidentiality:</w:t>
      </w:r>
      <w:r>
        <w:t xml:space="preserve"> </w:t>
      </w:r>
      <w:r>
        <w:t xml:space="preserve">The supplier and the assigned Financial Analyst shall maintain strict confidentiality of all financial data, proprietary models, and strategic information accessed during the engagement in Riyadh, Saudi Arabia. A separate Non-Disclosure Agreement (NDA) is attached as Annex 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supplier shall be compensated for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shall be resolved through the competent courts in Riyadh, Saudi Arabia.</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SAR 2,000,000 throughout the term of this Purchase Order.</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parties.</w:t>
      </w:r>
    </w:p>
    <w:p>
      <w:pPr>
        <w:pStyle w:val="FirstParagraph"/>
      </w:pPr>
      <w:r>
        <w:t xml:space="preserve">6. Delivery and Acceptance</w:t>
      </w:r>
    </w:p>
    <w:p>
      <w:pPr>
        <w:pStyle w:val="BodyText"/>
      </w:pPr>
      <w:r>
        <w:t xml:space="preserve">The Financial Analyst shall commence duties no later than 1 July 2025 at the Riyadh, Saudi Arabia office. Acceptance of each quarterly deliverable shall be confirmed in writing by the CFO of Al-Riyadh Financial Group within ten (10) business days of submission. Failure to provide written rejection within this period shall constitute deemed acceptance.</w:t>
      </w:r>
    </w:p>
    <w:p>
      <w:pPr>
        <w:pStyle w:val="BodyText"/>
      </w:pPr>
      <w:r>
        <w:t xml:space="preserve">7. Authorization and Signatures</w:t>
      </w:r>
    </w:p>
    <w:p>
      <w:pPr>
        <w:pStyle w:val="BodyText"/>
      </w:pPr>
      <w:r>
        <w:rPr>
          <w:bCs/>
          <w:b/>
        </w:rPr>
        <w:t xml:space="preserve">For and on behalf of Al-Riyadh Financial Group (Buyer)</w:t>
      </w:r>
    </w:p>
    <w:p>
      <w:pPr>
        <w:pStyle w:val="BodyText"/>
      </w:pPr>
      <w:r>
        <w:t xml:space="preserve">Mr. Khalid Al-Otaibi</w:t>
      </w:r>
      <w:r>
        <w:br/>
      </w:r>
      <w:r>
        <w:t xml:space="preserve">Head of Procurement</w:t>
      </w:r>
      <w:r>
        <w:br/>
      </w:r>
      <w:r>
        <w:t xml:space="preserve">Date: _______________</w:t>
      </w:r>
    </w:p>
    <w:p>
      <w:pPr>
        <w:pStyle w:val="BodyText"/>
      </w:pPr>
      <w:r>
        <w:rPr>
          <w:bCs/>
          <w:b/>
        </w:rPr>
        <w:t xml:space="preserve">For and on behalf of Gulf Analytics &amp; Advisory Solutions LLC (Seller)</w:t>
      </w:r>
    </w:p>
    <w:p>
      <w:pPr>
        <w:pStyle w:val="BodyText"/>
      </w:pPr>
      <w:r>
        <w:t xml:space="preserve">Ms. Sarah Al-Harbi</w:t>
      </w:r>
      <w:r>
        <w:br/>
      </w:r>
      <w:r>
        <w:t xml:space="preserve">Account Director</w:t>
      </w:r>
      <w:r>
        <w:br/>
      </w:r>
      <w:r>
        <w:t xml:space="preserve">Date: _______________</w:t>
      </w:r>
    </w:p>
    <w:p>
      <w:pPr>
        <w:pStyle w:val="BodyText"/>
      </w:pPr>
      <w:r>
        <w:t xml:space="preserve">This Purchase Order (PO-SA-RYD-2025-04872) is a legally binding document issued in Riyadh, Saudi Arabia. It constitutes the complete agreement between the parties regarding the procurement of Financial Analyst services as described herein. All references to "Saudi Arabia Riyadh" in this document denote the primary operational jurisdiction and service delivery location. This document is valid for a period of ninety (90) days from the date of issue.</w:t>
      </w:r>
    </w:p>
    <w:p>
      <w:pPr>
        <w:pStyle w:val="BodyText"/>
      </w:pPr>
      <w:r>
        <w:t xml:space="preserve">Document Reference: ARFG/PROC/2025/04872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Saudi Arabia Riyadh</dc:title>
  <dc:creator/>
  <dc:language>en</dc:language>
  <cp:keywords/>
  <dcterms:created xsi:type="dcterms:W3CDTF">2026-10-10T09:11:44Z</dcterms:created>
  <dcterms:modified xsi:type="dcterms:W3CDTF">2026-10-10T09:11:44Z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