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purchase-order"/>
    <w:p>
      <w:pPr>
        <w:pStyle w:val="Heading1"/>
      </w:pPr>
      <w:r>
        <w:t xml:space="preserve">PURCHASE ORDER</w:t>
      </w:r>
    </w:p>
    <w:p>
      <w:pPr>
        <w:pStyle w:val="FirstParagraph"/>
      </w:pPr>
      <w:r>
        <w:t xml:space="preserve">Purchase Order No.: PO-UAE-2025-04872</w:t>
      </w:r>
    </w:p>
    <w:p>
      <w:pPr>
        <w:pStyle w:val="BodyText"/>
      </w:pPr>
      <w:r>
        <w:t xml:space="preserve">Date of Issue: 15 June 2025</w:t>
      </w:r>
    </w:p>
    <w:p>
      <w:pPr>
        <w:pStyle w:val="BodyText"/>
      </w:pPr>
      <w:r>
        <w:t xml:space="preserve">Valid Until: 15 July 2025</w:t>
      </w:r>
    </w:p>
    <w:p>
      <w:pPr>
        <w:pStyle w:val="BodyText"/>
      </w:pPr>
      <w:r>
        <w:rPr>
          <w:bCs/>
          <w:b/>
        </w:rPr>
        <w:t xml:space="preserve">Issuing Entity:</w:t>
      </w:r>
    </w:p>
    <w:p>
      <w:pPr>
        <w:pStyle w:val="BodyText"/>
      </w:pPr>
      <w:r>
        <w:t xml:space="preserve">Meridian Capital Advisory LLC</w:t>
      </w:r>
    </w:p>
    <w:p>
      <w:pPr>
        <w:pStyle w:val="BodyText"/>
      </w:pPr>
      <w:r>
        <w:t xml:space="preserve">Office 1204, Level 12, Emirates Towers</w:t>
      </w:r>
    </w:p>
    <w:p>
      <w:pPr>
        <w:pStyle w:val="BodyText"/>
      </w:pPr>
      <w:r>
        <w:t xml:space="preserve">Sheikh Zayed Road, Downtown Dubai</w:t>
      </w:r>
    </w:p>
    <w:p>
      <w:pPr>
        <w:pStyle w:val="BodyText"/>
      </w:pPr>
      <w:r>
        <w:t xml:space="preserve">United Arab Emirates Dubai</w:t>
      </w:r>
    </w:p>
    <w:p>
      <w:pPr>
        <w:pStyle w:val="BodyText"/>
      </w:pPr>
      <w:r>
        <w:t xml:space="preserve">TRN: 100245678900003</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Professional Talent Solutions FZ-LLC</w:t>
            </w:r>
          </w:p>
        </w:tc>
      </w:tr>
      <w:tr>
        <w:tc>
          <w:tcPr/>
          <w:p>
            <w:pPr>
              <w:pStyle w:val="Compact"/>
              <w:jc w:val="left"/>
            </w:pPr>
            <w:r>
              <w:t xml:space="preserve">Address</w:t>
            </w:r>
          </w:p>
        </w:tc>
        <w:tc>
          <w:tcPr/>
          <w:p>
            <w:pPr>
              <w:pStyle w:val="Compact"/>
              <w:jc w:val="left"/>
            </w:pPr>
            <w:r>
              <w:t xml:space="preserve">Unit 7, Building C, Dubai Internet City, United Arab Emirates Dubai</w:t>
            </w:r>
          </w:p>
        </w:tc>
      </w:tr>
      <w:tr>
        <w:tc>
          <w:tcPr/>
          <w:p>
            <w:pPr>
              <w:pStyle w:val="Compact"/>
              <w:jc w:val="left"/>
            </w:pPr>
            <w:r>
              <w:t xml:space="preserve">TRN</w:t>
            </w:r>
          </w:p>
        </w:tc>
        <w:tc>
          <w:tcPr/>
          <w:p>
            <w:pPr>
              <w:pStyle w:val="Compact"/>
              <w:jc w:val="left"/>
            </w:pPr>
            <w:r>
              <w:t xml:space="preserve">100398765400003</w:t>
            </w:r>
          </w:p>
        </w:tc>
      </w:tr>
      <w:tr>
        <w:tc>
          <w:tcPr/>
          <w:p>
            <w:pPr>
              <w:pStyle w:val="Compact"/>
              <w:jc w:val="left"/>
            </w:pPr>
            <w:r>
              <w:t xml:space="preserve">Commercial License No.</w:t>
            </w:r>
          </w:p>
        </w:tc>
        <w:tc>
          <w:tcPr/>
          <w:p>
            <w:pPr>
              <w:pStyle w:val="Compact"/>
              <w:jc w:val="left"/>
            </w:pPr>
            <w:r>
              <w:t xml:space="preserve">DL-2019-44521</w:t>
            </w:r>
          </w:p>
        </w:tc>
      </w:tr>
      <w:tr>
        <w:tc>
          <w:tcPr/>
          <w:p>
            <w:pPr>
              <w:pStyle w:val="Compact"/>
              <w:jc w:val="left"/>
            </w:pPr>
            <w:r>
              <w:t xml:space="preserve">Contact Person</w:t>
            </w:r>
          </w:p>
        </w:tc>
        <w:tc>
          <w:tcPr/>
          <w:p>
            <w:pPr>
              <w:pStyle w:val="Compact"/>
              <w:jc w:val="left"/>
            </w:pPr>
            <w:r>
              <w:t xml:space="preserve">Ms. Fatima Al Mansoori, Head of Executive Search</w:t>
            </w:r>
          </w:p>
        </w:tc>
      </w:tr>
      <w:tr>
        <w:tc>
          <w:tcPr/>
          <w:p>
            <w:pPr>
              <w:pStyle w:val="Compact"/>
              <w:jc w:val="left"/>
            </w:pPr>
            <w:r>
              <w:t xml:space="preserve">Email</w:t>
            </w:r>
          </w:p>
        </w:tc>
        <w:tc>
          <w:tcPr/>
          <w:p>
            <w:pPr>
              <w:pStyle w:val="Compact"/>
              <w:jc w:val="left"/>
            </w:pPr>
            <w:r>
              <w:t xml:space="preserve">contracts@apextalent.ae</w:t>
            </w:r>
          </w:p>
        </w:tc>
      </w:tr>
      <w:tr>
        <w:tc>
          <w:tcPr/>
          <w:p>
            <w:pPr>
              <w:pStyle w:val="Compact"/>
              <w:jc w:val="left"/>
            </w:pPr>
            <w:r>
              <w:t xml:space="preserve">Telephone</w:t>
            </w:r>
          </w:p>
        </w:tc>
        <w:tc>
          <w:tcPr/>
          <w:p>
            <w:pPr>
              <w:pStyle w:val="Compact"/>
              <w:jc w:val="left"/>
            </w:pPr>
            <w:r>
              <w:t xml:space="preserve">+971 4 555 8821</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Meridian Capital Advisory LLC to Apex Professional Talent Solutions FZ-LLC for the recruitment, onboarding, and initial engagement of a qualified</w:t>
      </w:r>
      <w:r>
        <w:t xml:space="preserve"> </w:t>
      </w:r>
      <w:r>
        <w:rPr>
          <w:bCs/>
          <w:b/>
        </w:rPr>
        <w:t xml:space="preserve">Financial Analyst</w:t>
      </w:r>
      <w:r>
        <w:t xml:space="preserve"> </w:t>
      </w:r>
      <w:r>
        <w:t xml:space="preserve">to be based at the company's principal office in United Arab Emirates Dubai. The Financial Analyst shall be responsible for preparing financial models, conducting variance analysis, producing monthly and quarterly performance reports, supporting the Chief Financial Officer in budgeting cycles, and delivering ad-hoc analytical support to the investment committee. The scope of services under this Purchase Order encompasses the full recruitment lifecycle, including candidate sourcing, screening, interview coordination, background verification in compliance with United Arab Emirates Dubai labour regulations, offer negotiation, and a ninety (90) day post-employment performance guarantee.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Executive search and recruitment services for one (1) Senior Financial Analyst position, including job advertisement, candidate shortlisting, and structured interview panels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Pre-employment medical examination and visa processing for the Financial Analyst in accordance with United Arab Emirates Dubai immigration and Ministry of Human Resources and Emiratisation (MOHRE) requirements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Background verification, credential authentication, and reference checks for the Financial Analyst candidate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Ninety (90) day performance guarantee and replacement assurance for the Financial Analyst engagement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Onboarding support: Emirates ID processing, corporate bank account setup, and orientation to United Arab Emirates Dubai corporate compliance standards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t xml:space="preserve">Subtotal</w:t>
            </w:r>
          </w:p>
        </w:tc>
        <w:tc>
          <w:tcPr/>
          <w:p>
            <w:pPr>
              <w:pStyle w:val="Compact"/>
              <w:jc w:val="left"/>
            </w:pPr>
            <w:r>
              <w:t xml:space="preserve">73,500.00</w:t>
            </w:r>
          </w:p>
        </w:tc>
      </w:tr>
      <w:tr>
        <w:tc>
          <w:tcPr>
            <w:gridSpan w:val="4"/>
          </w:tcPr>
          <w:p>
            <w:pPr>
              <w:pStyle w:val="Compact"/>
              <w:jc w:val="left"/>
            </w:pPr>
            <w:r>
              <w:t xml:space="preserve">VAT (5% – United Arab Emirates Dubai standard rate)</w:t>
            </w:r>
          </w:p>
        </w:tc>
        <w:tc>
          <w:tcPr/>
          <w:p>
            <w:pPr>
              <w:pStyle w:val="Compact"/>
              <w:jc w:val="left"/>
            </w:pPr>
            <w:r>
              <w:t xml:space="preserve">3,675.00</w:t>
            </w:r>
          </w:p>
        </w:tc>
      </w:tr>
      <w:tr>
        <w:tc>
          <w:tcPr>
            <w:gridSpan w:val="4"/>
          </w:tcPr>
          <w:p>
            <w:pPr>
              <w:pStyle w:val="Compact"/>
              <w:jc w:val="left"/>
            </w:pPr>
            <w:r>
              <w:rPr>
                <w:bCs/>
                <w:b/>
              </w:rPr>
              <w:t xml:space="preserve">Grand Total (AED)</w:t>
            </w:r>
          </w:p>
        </w:tc>
        <w:tc>
          <w:tcPr/>
          <w:p>
            <w:pPr>
              <w:pStyle w:val="Compact"/>
              <w:jc w:val="left"/>
            </w:pPr>
            <w:r>
              <w:rPr>
                <w:bCs/>
                <w:b/>
              </w:rPr>
              <w:t xml:space="preserve">77,175.00</w:t>
            </w:r>
          </w:p>
        </w:tc>
      </w:tr>
    </w:tbl>
    <w:bookmarkEnd w:id="22"/>
    <w:bookmarkStart w:id="23" w:name="payment-terms"/>
    <w:p>
      <w:pPr>
        <w:pStyle w:val="Heading2"/>
      </w:pPr>
      <w:r>
        <w:t xml:space="preserve">4. Payment Terms</w:t>
      </w:r>
    </w:p>
    <w:p>
      <w:pPr>
        <w:pStyle w:val="FirstParagraph"/>
      </w:pPr>
      <w:r>
        <w:t xml:space="preserve">Payment for this Purchase Order shall be made in United Arab Emirates Dirhams (AED) via bank transfer to the supplier's designated account. The payment schedule is as follows: fifty percent (50%) of the total amount, equivalent to AED 38,587.50, shall be due within fourteen (14) calendar days of the date of this Purchase Order. The remaining fifty percent (50%), equivalent to AED 38,587.50, shall be due within seven (7) calendar days following the successful onboarding and commencement of duties by the Financial Analyst. All invoices must reference Purchase Order No. PO-UAE-2025-04872. Late payments shall attract a penalty of one and a half percent (1.5%) per month, in accordance with the Commercial Transactions Law of the United Arab Emirates.</w:t>
      </w:r>
    </w:p>
    <w:bookmarkEnd w:id="23"/>
    <w:bookmarkStart w:id="24" w:name="delivery-and-performance-timeline"/>
    <w:p>
      <w:pPr>
        <w:pStyle w:val="Heading2"/>
      </w:pPr>
      <w:r>
        <w:t xml:space="preserve">5. Delivery and Performance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Shortlist of qualified Financial Analyst candidates presented to Meridian Capital Advisory LLC</w:t>
            </w:r>
          </w:p>
        </w:tc>
        <w:tc>
          <w:tcPr/>
          <w:p>
            <w:pPr>
              <w:pStyle w:val="Compact"/>
              <w:jc w:val="left"/>
            </w:pPr>
            <w:r>
              <w:t xml:space="preserve">29 June 2025</w:t>
            </w:r>
          </w:p>
        </w:tc>
      </w:tr>
      <w:tr>
        <w:tc>
          <w:tcPr/>
          <w:p>
            <w:pPr>
              <w:pStyle w:val="Compact"/>
              <w:jc w:val="left"/>
            </w:pPr>
            <w:r>
              <w:t xml:space="preserve">Completion of interview panels and selection of the Financial Analyst</w:t>
            </w:r>
          </w:p>
        </w:tc>
        <w:tc>
          <w:tcPr/>
          <w:p>
            <w:pPr>
              <w:pStyle w:val="Compact"/>
              <w:jc w:val="left"/>
            </w:pPr>
            <w:r>
              <w:t xml:space="preserve">12 July 2025</w:t>
            </w:r>
          </w:p>
        </w:tc>
      </w:tr>
      <w:tr>
        <w:tc>
          <w:tcPr/>
          <w:p>
            <w:pPr>
              <w:pStyle w:val="Compact"/>
              <w:jc w:val="left"/>
            </w:pPr>
            <w:r>
              <w:t xml:space="preserve">Issuance of offer letter and acceptance by the Financial Analyst</w:t>
            </w:r>
          </w:p>
        </w:tc>
        <w:tc>
          <w:tcPr/>
          <w:p>
            <w:pPr>
              <w:pStyle w:val="Compact"/>
              <w:jc w:val="left"/>
            </w:pPr>
            <w:r>
              <w:t xml:space="preserve">19 July 2025</w:t>
            </w:r>
          </w:p>
        </w:tc>
      </w:tr>
      <w:tr>
        <w:tc>
          <w:tcPr/>
          <w:p>
            <w:pPr>
              <w:pStyle w:val="Compact"/>
              <w:jc w:val="left"/>
            </w:pPr>
            <w:r>
              <w:t xml:space="preserve">Visa processing, medical clearance, and Emirates ID issuance in United Arab Emirates Dubai</w:t>
            </w:r>
          </w:p>
        </w:tc>
        <w:tc>
          <w:tcPr/>
          <w:p>
            <w:pPr>
              <w:pStyle w:val="Compact"/>
              <w:jc w:val="left"/>
            </w:pPr>
            <w:r>
              <w:t xml:space="preserve">09 August 2025</w:t>
            </w:r>
          </w:p>
        </w:tc>
      </w:tr>
      <w:tr>
        <w:tc>
          <w:tcPr/>
          <w:p>
            <w:pPr>
              <w:pStyle w:val="Compact"/>
              <w:jc w:val="left"/>
            </w:pPr>
            <w:r>
              <w:t xml:space="preserve">Financial Analyst commences employment and onboarding</w:t>
            </w:r>
          </w:p>
        </w:tc>
        <w:tc>
          <w:tcPr/>
          <w:p>
            <w:pPr>
              <w:pStyle w:val="Compact"/>
              <w:jc w:val="left"/>
            </w:pPr>
            <w:r>
              <w:t xml:space="preserve">18 August 2025</w:t>
            </w:r>
          </w:p>
        </w:tc>
      </w:tr>
      <w:tr>
        <w:tc>
          <w:tcPr/>
          <w:p>
            <w:pPr>
              <w:pStyle w:val="Compact"/>
              <w:jc w:val="left"/>
            </w:pPr>
            <w:r>
              <w:t xml:space="preserve">End of 90-day performance guarantee period</w:t>
            </w:r>
          </w:p>
        </w:tc>
        <w:tc>
          <w:tcPr/>
          <w:p>
            <w:pPr>
              <w:pStyle w:val="Compact"/>
              <w:jc w:val="left"/>
            </w:pPr>
            <w:r>
              <w:t xml:space="preserve">16 November 2025</w:t>
            </w:r>
          </w:p>
        </w:tc>
      </w:tr>
    </w:tbl>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United Arab Emirates and, where applicable, the specific regulations of the Dubai Financial Services Authority (DFSA) and the Securities and Commodities Authority (SCA) of United Arab Emirates Dubai.</w:t>
      </w:r>
    </w:p>
    <w:p>
      <w:pPr>
        <w:numPr>
          <w:ilvl w:val="0"/>
          <w:numId w:val="1001"/>
        </w:numPr>
        <w:pStyle w:val="Compact"/>
      </w:pPr>
      <w:r>
        <w:t xml:space="preserve">The Financial Analyst engaged under this Purchase Order shall be subject to a standard employment contract compliant with Federal Decree-Law No. 33 of 2021 (UAE Labour Law) and all applicable United Arab Emirates Dubai municipal and federal regulations.</w:t>
      </w:r>
    </w:p>
    <w:p>
      <w:pPr>
        <w:numPr>
          <w:ilvl w:val="0"/>
          <w:numId w:val="1001"/>
        </w:numPr>
        <w:pStyle w:val="Compact"/>
      </w:pPr>
      <w:r>
        <w:t xml:space="preserve">The supplier warrants that the Financial Analyst shall hold a minimum of a Bachelor's degree in Finance, Accounting, or a related discipline, possess at least five (5) years of relevant experience in financial analysis, and demonstrate proficiency in financial modelling tools including Excel, Bloomberg Terminal, and SAP.</w:t>
      </w:r>
    </w:p>
    <w:p>
      <w:pPr>
        <w:numPr>
          <w:ilvl w:val="0"/>
          <w:numId w:val="1001"/>
        </w:numPr>
        <w:pStyle w:val="Compact"/>
      </w:pPr>
      <w:r>
        <w:t xml:space="preserve">Confidentiality: Both parties agree to maintain strict confidentiality regarding all financial data, client information, and proprietary models accessed by the Financial Analyst during the engagement period in United Arab Emirates Dubai.</w:t>
      </w:r>
    </w:p>
    <w:p>
      <w:pPr>
        <w:numPr>
          <w:ilvl w:val="0"/>
          <w:numId w:val="1001"/>
        </w:numPr>
        <w:pStyle w:val="Compact"/>
      </w:pPr>
      <w:r>
        <w:t xml:space="preserve">Any disputes arising from this Purchase Order shall be resolved through the Dubai International Financial Centre (DIFC) Courts or, at the mutual election of the parties, through arbitration administered by the Dubai International Arbitration Centre (DIAC).</w:t>
      </w:r>
    </w:p>
    <w:p>
      <w:pPr>
        <w:numPr>
          <w:ilvl w:val="0"/>
          <w:numId w:val="1001"/>
        </w:numPr>
        <w:pStyle w:val="Compact"/>
      </w:pPr>
      <w:r>
        <w:t xml:space="preserve">This Purchase Order shall not be construed as a guarantee of permanent employment. The engagement of the Financial Analyst is subject to the terms of the separate employment contract executed between Meridian Capital Advisory LLC and the Financial Analyst.</w:t>
      </w:r>
    </w:p>
    <w:p>
      <w:pPr>
        <w:numPr>
          <w:ilvl w:val="0"/>
          <w:numId w:val="1001"/>
        </w:numPr>
        <w:pStyle w:val="Compact"/>
      </w:pPr>
      <w:r>
        <w:t xml:space="preserve">All communications regarding this Purchase Order shall be directed to the designated contact persons listed in Sections 1 and 2. Verbal modifications to this Purchase Order shall be null and void unless confirmed in writing by both parties.</w:t>
      </w:r>
    </w:p>
    <w:bookmarkEnd w:id="25"/>
    <w:bookmarkStart w:id="26" w:name="authorisation-and-acceptance"/>
    <w:p>
      <w:pPr>
        <w:pStyle w:val="Heading2"/>
      </w:pPr>
      <w:r>
        <w:t xml:space="preserve">7. Authorisation and Acceptance</w:t>
      </w:r>
    </w:p>
    <w:p>
      <w:pPr>
        <w:pStyle w:val="FirstParagraph"/>
      </w:pPr>
      <w:r>
        <w:t xml:space="preserve">By signing below, both parties acknowledge and accept all terms, conditions, and obligations set forth in this Purchase Order for the recruitment and engagement of the Financial Analyst in United Arab Emirates Dubai.</w:t>
      </w:r>
    </w:p>
    <w:bookmarkEnd w:id="26"/>
    <w:p>
      <w:pPr>
        <w:pStyle w:val="BodyText"/>
      </w:pPr>
      <w:r>
        <w:rPr>
          <w:bCs/>
          <w:b/>
        </w:rPr>
        <w:t xml:space="preserve">For and on behalf of Meridian Capital Advisory LLC</w:t>
      </w:r>
    </w:p>
    <w:p>
      <w:pPr>
        <w:pStyle w:val="BodyText"/>
      </w:pPr>
      <w:r>
        <w:t xml:space="preserve">Name: Mr. Khalid bin Rashid Al Suwaidi</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Apex Professional Talent Solutions FZ-LLC</w:t>
      </w:r>
    </w:p>
    <w:p>
      <w:pPr>
        <w:pStyle w:val="BodyText"/>
      </w:pPr>
      <w:r>
        <w:t xml:space="preserve">Name: Ms. Fatima Al Mansoori</w:t>
      </w:r>
    </w:p>
    <w:p>
      <w:pPr>
        <w:pStyle w:val="BodyText"/>
      </w:pPr>
      <w:r>
        <w:t xml:space="preserve">Title: Head of Executive Search</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document is issued in the United Arab Emirates Dubai and is valid for a period of thirty (30) days from the date of issue. Reference: PO-UAE-2025-04872. All monetary values are denominated in United Arab Emirates Dirhams (AED) unless otherwise stated.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United Arab Emirates Dubai</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file>