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MIA-FA-2025-00472</w:t>
      </w:r>
    </w:p>
    <w:p>
      <w:pPr>
        <w:pStyle w:val="BodyText"/>
      </w:pPr>
      <w:r>
        <w:t xml:space="preserve">Date of Issue: June 12, 2025</w:t>
      </w:r>
    </w:p>
    <w:p>
      <w:pPr>
        <w:pStyle w:val="BodyText"/>
      </w:pPr>
      <w:r>
        <w:t xml:space="preserve">Valid Until: September 12, 2025</w:t>
      </w:r>
    </w:p>
    <w:bookmarkEnd w:id="20"/>
    <w:bookmarkStart w:id="21" w:name="buyer-requiring-department"/>
    <w:p>
      <w:pPr>
        <w:pStyle w:val="Heading3"/>
      </w:pPr>
      <w:r>
        <w:t xml:space="preserve">BUYER / REQUIRING DEPARTMENT</w:t>
      </w:r>
    </w:p>
    <w:p>
      <w:pPr>
        <w:pStyle w:val="FirstParagraph"/>
      </w:pPr>
      <w:r>
        <w:rPr>
          <w:bCs/>
          <w:b/>
        </w:rPr>
        <w:t xml:space="preserve">Company:</w:t>
      </w:r>
      <w:r>
        <w:t xml:space="preserve"> </w:t>
      </w:r>
      <w:r>
        <w:t xml:space="preserve">Atlantic Meridian Capital Group, LLC</w:t>
      </w:r>
    </w:p>
    <w:p>
      <w:pPr>
        <w:pStyle w:val="BodyText"/>
      </w:pPr>
      <w:r>
        <w:rPr>
          <w:bCs/>
          <w:b/>
        </w:rPr>
        <w:t xml:space="preserve">Address:</w:t>
      </w:r>
      <w:r>
        <w:t xml:space="preserve"> </w:t>
      </w:r>
      <w:r>
        <w:t xml:space="preserve">300 Biscayne Boulevard, Suite 2100, Miami, Florida 33132, United States</w:t>
      </w:r>
    </w:p>
    <w:p>
      <w:pPr>
        <w:pStyle w:val="BodyText"/>
      </w:pPr>
      <w:r>
        <w:rPr>
          <w:bCs/>
          <w:b/>
        </w:rPr>
        <w:t xml:space="preserve">Department:</w:t>
      </w:r>
      <w:r>
        <w:t xml:space="preserve"> </w:t>
      </w:r>
      <w:r>
        <w:t xml:space="preserve">Corporate Finance &amp; Strategic Planning</w:t>
      </w:r>
    </w:p>
    <w:p>
      <w:pPr>
        <w:pStyle w:val="BodyText"/>
      </w:pPr>
      <w:r>
        <w:rPr>
          <w:bCs/>
          <w:b/>
        </w:rPr>
        <w:t xml:space="preserve">Contact:</w:t>
      </w:r>
      <w:r>
        <w:t xml:space="preserve"> </w:t>
      </w:r>
      <w:r>
        <w:t xml:space="preserve">Ms. Elena Vasquez, Director of Procurement</w:t>
      </w:r>
    </w:p>
    <w:p>
      <w:pPr>
        <w:pStyle w:val="BodyText"/>
      </w:pPr>
      <w:r>
        <w:rPr>
          <w:bCs/>
          <w:b/>
        </w:rPr>
        <w:t xml:space="preserve">Email:</w:t>
      </w:r>
      <w:r>
        <w:t xml:space="preserve"> </w:t>
      </w:r>
      <w:r>
        <w:t xml:space="preserve">e.vasquez@atlanticmeridian.com</w:t>
      </w:r>
    </w:p>
    <w:p>
      <w:pPr>
        <w:pStyle w:val="BodyText"/>
      </w:pPr>
      <w:r>
        <w:rPr>
          <w:bCs/>
          <w:b/>
        </w:rPr>
        <w:t xml:space="preserve">Phone:</w:t>
      </w:r>
      <w:r>
        <w:t xml:space="preserve"> </w:t>
      </w:r>
      <w:r>
        <w:t xml:space="preserve">(305) 555-0187</w:t>
      </w:r>
    </w:p>
    <w:p>
      <w:pPr>
        <w:pStyle w:val="BodyText"/>
      </w:pPr>
      <w:r>
        <w:rPr>
          <w:bCs/>
          <w:b/>
        </w:rPr>
        <w:t xml:space="preserve">Tax ID (EIN):</w:t>
      </w:r>
      <w:r>
        <w:t xml:space="preserve"> </w:t>
      </w:r>
      <w:r>
        <w:t xml:space="preserve">82-4471903</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Meridian Analytics &amp; Advisory Partners, Inc.</w:t>
      </w:r>
    </w:p>
    <w:p>
      <w:pPr>
        <w:pStyle w:val="BodyText"/>
      </w:pPr>
      <w:r>
        <w:rPr>
          <w:bCs/>
          <w:b/>
        </w:rPr>
        <w:t xml:space="preserve">Address:</w:t>
      </w:r>
      <w:r>
        <w:t xml:space="preserve"> </w:t>
      </w:r>
      <w:r>
        <w:t xml:space="preserve">1000 Brickell Avenue, Floor 18, Miami, Florida 33131, United States</w:t>
      </w:r>
    </w:p>
    <w:p>
      <w:pPr>
        <w:pStyle w:val="BodyText"/>
      </w:pPr>
      <w:r>
        <w:rPr>
          <w:bCs/>
          <w:b/>
        </w:rPr>
        <w:t xml:space="preserve">Primary Consultant:</w:t>
      </w:r>
      <w:r>
        <w:t xml:space="preserve"> </w:t>
      </w:r>
      <w:r>
        <w:t xml:space="preserve">Mr. David R. Thornton, CFA, Senior Financial Analyst</w:t>
      </w:r>
    </w:p>
    <w:p>
      <w:pPr>
        <w:pStyle w:val="BodyText"/>
      </w:pPr>
      <w:r>
        <w:rPr>
          <w:bCs/>
          <w:b/>
        </w:rPr>
        <w:t xml:space="preserve">Contact:</w:t>
      </w:r>
      <w:r>
        <w:t xml:space="preserve"> </w:t>
      </w:r>
      <w:r>
        <w:t xml:space="preserve">Mr. James Okafor, Account Manager</w:t>
      </w:r>
    </w:p>
    <w:p>
      <w:pPr>
        <w:pStyle w:val="BodyText"/>
      </w:pPr>
      <w:r>
        <w:rPr>
          <w:bCs/>
          <w:b/>
        </w:rPr>
        <w:t xml:space="preserve">Email:</w:t>
      </w:r>
      <w:r>
        <w:t xml:space="preserve"> </w:t>
      </w:r>
      <w:r>
        <w:t xml:space="preserve">j.okafor@meridiananalytics.com</w:t>
      </w:r>
    </w:p>
    <w:p>
      <w:pPr>
        <w:pStyle w:val="BodyText"/>
      </w:pPr>
      <w:r>
        <w:rPr>
          <w:bCs/>
          <w:b/>
        </w:rPr>
        <w:t xml:space="preserve">Phone:</w:t>
      </w:r>
      <w:r>
        <w:t xml:space="preserve"> </w:t>
      </w:r>
      <w:r>
        <w:t xml:space="preserve">(305) 555-0243</w:t>
      </w:r>
    </w:p>
    <w:p>
      <w:pPr>
        <w:pStyle w:val="BodyText"/>
      </w:pPr>
      <w:r>
        <w:rPr>
          <w:bCs/>
          <w:b/>
        </w:rPr>
        <w:t xml:space="preserve">Tax ID (EIN):</w:t>
      </w:r>
      <w:r>
        <w:t xml:space="preserve"> </w:t>
      </w:r>
      <w:r>
        <w:t xml:space="preserve">59-8832147</w:t>
      </w:r>
    </w:p>
    <w:bookmarkEnd w:id="22"/>
    <w:p>
      <w:pPr>
        <w:pStyle w:val="BodyText"/>
      </w:pPr>
      <w:r>
        <w:t xml:space="preserve">DESCRIPTION OF SERVICES</w:t>
      </w:r>
    </w:p>
    <w:p>
      <w:pPr>
        <w:pStyle w:val="BodyText"/>
      </w:pPr>
      <w:r>
        <w:t xml:space="preserve">This Purchase Order is issued by Atlantic Meridian Capital Group, LLC to formally engage the services of a qualified</w:t>
      </w:r>
      <w:r>
        <w:t xml:space="preserve"> </w:t>
      </w:r>
      <w:r>
        <w:t xml:space="preserve">Financial Analyst</w:t>
      </w:r>
      <w:r>
        <w:t xml:space="preserve"> </w:t>
      </w:r>
      <w:r>
        <w:t xml:space="preserve">through Meridian Analytics &amp; Advisory Partners, Inc. The</w:t>
      </w:r>
      <w:r>
        <w:t xml:space="preserve"> </w:t>
      </w:r>
      <w:r>
        <w:t xml:space="preserve">Financial Analyst</w:t>
      </w:r>
      <w:r>
        <w:t xml:space="preserve"> </w:t>
      </w:r>
      <w:r>
        <w:t xml:space="preserve">shall be assigned to the Miami, Florida office and shall perform all duties within the jurisdiction of</w:t>
      </w:r>
      <w:r>
        <w:t xml:space="preserve"> </w:t>
      </w:r>
      <w:r>
        <w:t xml:space="preserve">United States Miami</w:t>
      </w:r>
      <w:r>
        <w:t xml:space="preserve">, in full compliance with all applicable federal, state, and local regulations governing financial analysis, reporting, and advisory services. The scope of work encompasses quarterly financial modeling, variance analysis, budget forecasting, investment portfolio evaluation, and the preparation of comprehensive analytical reports for the executive leadership team. The</w:t>
      </w:r>
      <w:r>
        <w:t xml:space="preserve"> </w:t>
      </w:r>
      <w:r>
        <w:t xml:space="preserve">Financial Analyst</w:t>
      </w:r>
      <w:r>
        <w:t xml:space="preserve"> </w:t>
      </w:r>
      <w:r>
        <w:t xml:space="preserve">is expected to maintain strict adherence to Generally Accepted Accounting Principles (GAAP) and the Financial Industry Regulatory Authority (FINRA) guidelines as they pertain to operations conducted in</w:t>
      </w:r>
      <w:r>
        <w:t xml:space="preserve"> </w:t>
      </w:r>
      <w:r>
        <w:t xml:space="preserve">United States Miami</w:t>
      </w:r>
      <w:r>
        <w:t xml:space="preserve">.</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Financial Analyst – Quarterly Financial Modeling &amp; Forecasting (Miami, FL office)</w:t>
            </w:r>
          </w:p>
        </w:tc>
        <w:tc>
          <w:tcPr/>
          <w:p>
            <w:pPr>
              <w:pStyle w:val="Compact"/>
              <w:jc w:val="left"/>
            </w:pPr>
            <w:r>
              <w:t xml:space="preserve">3 months</w:t>
            </w:r>
          </w:p>
        </w:tc>
        <w:tc>
          <w:tcPr/>
          <w:p>
            <w:pPr>
              <w:pStyle w:val="Compact"/>
              <w:jc w:val="left"/>
            </w:pPr>
            <w:r>
              <w:t xml:space="preserve">$14,500/mo</w:t>
            </w:r>
          </w:p>
        </w:tc>
        <w:tc>
          <w:tcPr/>
          <w:p>
            <w:pPr>
              <w:pStyle w:val="Compact"/>
              <w:jc w:val="left"/>
            </w:pPr>
            <w:r>
              <w:t xml:space="preserve">$43,500.00</w:t>
            </w:r>
          </w:p>
        </w:tc>
      </w:tr>
      <w:tr>
        <w:tc>
          <w:tcPr/>
          <w:p>
            <w:pPr>
              <w:pStyle w:val="Compact"/>
              <w:jc w:val="left"/>
            </w:pPr>
            <w:r>
              <w:t xml:space="preserve">2</w:t>
            </w:r>
          </w:p>
        </w:tc>
        <w:tc>
          <w:tcPr/>
          <w:p>
            <w:pPr>
              <w:pStyle w:val="Compact"/>
              <w:jc w:val="left"/>
            </w:pPr>
            <w:r>
              <w:t xml:space="preserve">Financial Analyst – Investment Portfolio Performance Analysis &amp; Risk Assessment</w:t>
            </w:r>
          </w:p>
        </w:tc>
        <w:tc>
          <w:tcPr/>
          <w:p>
            <w:pPr>
              <w:pStyle w:val="Compact"/>
              <w:jc w:val="left"/>
            </w:pPr>
            <w:r>
              <w:t xml:space="preserve">3 months</w:t>
            </w:r>
          </w:p>
        </w:tc>
        <w:tc>
          <w:tcPr/>
          <w:p>
            <w:pPr>
              <w:pStyle w:val="Compact"/>
              <w:jc w:val="left"/>
            </w:pPr>
            <w:r>
              <w:t xml:space="preserve">$9,800/mo</w:t>
            </w:r>
          </w:p>
        </w:tc>
        <w:tc>
          <w:tcPr/>
          <w:p>
            <w:pPr>
              <w:pStyle w:val="Compact"/>
              <w:jc w:val="left"/>
            </w:pPr>
            <w:r>
              <w:t xml:space="preserve">$29,400.00</w:t>
            </w:r>
          </w:p>
        </w:tc>
      </w:tr>
      <w:tr>
        <w:tc>
          <w:tcPr/>
          <w:p>
            <w:pPr>
              <w:pStyle w:val="Compact"/>
              <w:jc w:val="left"/>
            </w:pPr>
            <w:r>
              <w:t xml:space="preserve">3</w:t>
            </w:r>
          </w:p>
        </w:tc>
        <w:tc>
          <w:tcPr/>
          <w:p>
            <w:pPr>
              <w:pStyle w:val="Compact"/>
              <w:jc w:val="left"/>
            </w:pPr>
            <w:r>
              <w:t xml:space="preserve">Financial Analyst – Budget Variance Reporting &amp; Executive Presentations (United States Miami)</w:t>
            </w:r>
          </w:p>
        </w:tc>
        <w:tc>
          <w:tcPr/>
          <w:p>
            <w:pPr>
              <w:pStyle w:val="Compact"/>
              <w:jc w:val="left"/>
            </w:pPr>
            <w:r>
              <w:t xml:space="preserve">3 months</w:t>
            </w:r>
          </w:p>
        </w:tc>
        <w:tc>
          <w:tcPr/>
          <w:p>
            <w:pPr>
              <w:pStyle w:val="Compact"/>
              <w:jc w:val="left"/>
            </w:pPr>
            <w:r>
              <w:t xml:space="preserve">$7,200/mo</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Compliance &amp; Regulatory Review – FINRA/GAAP Alignment for Miami Operations</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Onboarding, Workspace Setup &amp; IT Provisioning at Miami, FL Office</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$2,800.00</w:t>
            </w:r>
          </w:p>
        </w:tc>
      </w:tr>
      <w:tr>
        <w:tc>
          <w:tcPr>
            <w:gridSpan w:val="4"/>
          </w:tcPr>
          <w:p>
            <w:pPr>
              <w:pStyle w:val="Compact"/>
              <w:jc w:val="left"/>
            </w:pPr>
            <w:r>
              <w:t xml:space="preserve">SUBTOTAL</w:t>
            </w:r>
          </w:p>
        </w:tc>
        <w:tc>
          <w:tcPr/>
          <w:p>
            <w:pPr>
              <w:pStyle w:val="Compact"/>
              <w:jc w:val="left"/>
            </w:pPr>
            <w:r>
              <w:t xml:space="preserve">$102,800.00</w:t>
            </w:r>
          </w:p>
        </w:tc>
      </w:tr>
      <w:tr>
        <w:tc>
          <w:tcPr>
            <w:gridSpan w:val="4"/>
          </w:tcPr>
          <w:p>
            <w:pPr>
              <w:pStyle w:val="Compact"/>
              <w:jc w:val="left"/>
            </w:pPr>
            <w:r>
              <w:t xml:space="preserve">Applicable Florida State Sales Tax (7.0%)</w:t>
            </w:r>
          </w:p>
        </w:tc>
        <w:tc>
          <w:tcPr/>
          <w:p>
            <w:pPr>
              <w:pStyle w:val="Compact"/>
              <w:jc w:val="left"/>
            </w:pPr>
            <w:r>
              <w:t xml:space="preserve">$7,196.00</w:t>
            </w:r>
          </w:p>
        </w:tc>
      </w:tr>
      <w:tr>
        <w:tc>
          <w:tcPr>
            <w:gridSpan w:val="4"/>
          </w:tcPr>
          <w:p>
            <w:pPr>
              <w:pStyle w:val="Compact"/>
              <w:jc w:val="left"/>
            </w:pPr>
            <w:r>
              <w:t xml:space="preserve">TOTAL PURCHASE ORDER AMOUNT</w:t>
            </w:r>
          </w:p>
        </w:tc>
        <w:tc>
          <w:tcPr/>
          <w:p>
            <w:pPr>
              <w:pStyle w:val="Compact"/>
              <w:jc w:val="left"/>
            </w:pPr>
            <w:r>
              <w:t xml:space="preserve">$110,000.00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Financial Analyst</w:t>
      </w:r>
      <w:r>
        <w:t xml:space="preserve"> </w:t>
      </w:r>
      <w:r>
        <w:t xml:space="preserve">engaged under this Purchase Order shall perform all analytical, reporting, and advisory functions exclusively from the designated office located in</w:t>
      </w:r>
      <w:r>
        <w:t xml:space="preserve"> </w:t>
      </w:r>
      <w:r>
        <w:t xml:space="preserve">United States Miami</w:t>
      </w:r>
      <w:r>
        <w:t xml:space="preserve">, specifically at 300 Biscayne Boulevard, Suite 2100. Remote work is not authorized without prior written consent from the Buyer.</w:t>
      </w:r>
    </w:p>
    <w:p>
      <w:pPr>
        <w:numPr>
          <w:ilvl w:val="0"/>
          <w:numId w:val="1001"/>
        </w:numPr>
        <w:pStyle w:val="Compact"/>
      </w:pPr>
      <w:r>
        <w:rPr>
          <w:bCs/>
          <w:b/>
        </w:rPr>
        <w:t xml:space="preserve">Performance Standards:</w:t>
      </w:r>
      <w:r>
        <w:t xml:space="preserve"> </w:t>
      </w:r>
      <w:r>
        <w:t xml:space="preserve">The</w:t>
      </w:r>
      <w:r>
        <w:t xml:space="preserve"> </w:t>
      </w:r>
      <w:r>
        <w:t xml:space="preserve">Financial Analyst</w:t>
      </w:r>
      <w:r>
        <w:t xml:space="preserve"> </w:t>
      </w:r>
      <w:r>
        <w:t xml:space="preserve">shall deliver all reports, models, and presentations within the timelines specified in the attached Statement of Work (SOW). Failure to meet deliverable deadlines by more than five (5) business days shall constitute a material breach of this Purchase Order.</w:t>
      </w:r>
    </w:p>
    <w:p>
      <w:pPr>
        <w:numPr>
          <w:ilvl w:val="0"/>
          <w:numId w:val="1001"/>
        </w:numPr>
        <w:pStyle w:val="Compact"/>
      </w:pPr>
      <w:r>
        <w:rPr>
          <w:bCs/>
          <w:b/>
        </w:rPr>
        <w:t xml:space="preserve">Payment Terms:</w:t>
      </w:r>
      <w:r>
        <w:t xml:space="preserve"> </w:t>
      </w:r>
      <w:r>
        <w:t xml:space="preserve">Payment shall be made net thirty (30) days from the date of invoice receipt. Invoices shall be submitted monthly on the last business day of each calendar month. All payments shall be processed via wire transfer to the account designated by Meridian Analytics &amp; Advisory Partners, Inc. The total Purchase Order value of $110,000.00 is non-refundable once services have commenced.</w:t>
      </w:r>
    </w:p>
    <w:p>
      <w:pPr>
        <w:numPr>
          <w:ilvl w:val="0"/>
          <w:numId w:val="1001"/>
        </w:numPr>
        <w:pStyle w:val="Compact"/>
      </w:pPr>
      <w:r>
        <w:rPr>
          <w:bCs/>
          <w:b/>
        </w:rPr>
        <w:t xml:space="preserve">Confidentiality &amp; Data Security:</w:t>
      </w:r>
      <w:r>
        <w:t xml:space="preserve"> </w:t>
      </w:r>
      <w:r>
        <w:t xml:space="preserve">The</w:t>
      </w:r>
      <w:r>
        <w:t xml:space="preserve"> </w:t>
      </w:r>
      <w:r>
        <w:t xml:space="preserve">Financial Analyst</w:t>
      </w:r>
      <w:r>
        <w:t xml:space="preserve"> </w:t>
      </w:r>
      <w:r>
        <w:t xml:space="preserve">shall execute a Non-Disclosure Agreement (NDA) prior to commencing work. All financial data, client information, and proprietary models accessed during the engagement in</w:t>
      </w:r>
      <w:r>
        <w:t xml:space="preserve"> </w:t>
      </w:r>
      <w:r>
        <w:t xml:space="preserve">United States Miami</w:t>
      </w:r>
      <w:r>
        <w:t xml:space="preserve"> </w:t>
      </w:r>
      <w:r>
        <w:t xml:space="preserve">shall be treated as strictly confidential and shall not be disclosed to any third party without written authorization from Atlantic Meridian Capital Group, LLC.</w:t>
      </w:r>
    </w:p>
    <w:p>
      <w:pPr>
        <w:numPr>
          <w:ilvl w:val="0"/>
          <w:numId w:val="1001"/>
        </w:numPr>
        <w:pStyle w:val="Compact"/>
      </w:pPr>
      <w:r>
        <w:rPr>
          <w:bCs/>
          <w:b/>
        </w:rPr>
        <w:t xml:space="preserve">Compliance:</w:t>
      </w:r>
      <w:r>
        <w:t xml:space="preserve"> </w:t>
      </w:r>
      <w:r>
        <w:t xml:space="preserve">All services rendered under this Purchase Order shall comply with the Securities Exchange Act of 1934, the Investment Advisers Act of 1940, Florida state financial regulations, and all municipal ordinances applicable to</w:t>
      </w:r>
      <w:r>
        <w:t xml:space="preserve"> </w:t>
      </w:r>
      <w:r>
        <w:t xml:space="preserve">United States Miami</w:t>
      </w:r>
      <w:r>
        <w:t xml:space="preserve">. The</w:t>
      </w:r>
      <w:r>
        <w:t xml:space="preserve"> </w:t>
      </w:r>
      <w:r>
        <w:t xml:space="preserve">Financial Analyst</w:t>
      </w:r>
      <w:r>
        <w:t xml:space="preserve"> </w:t>
      </w:r>
      <w:r>
        <w:t xml:space="preserve">must hold a valid CFA charter or equivalent certification recognized by the CFA Institute.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be liable for all services rendered up to the effective date of termination, plus any non-cancellable commitments made by the</w:t>
      </w:r>
      <w:r>
        <w:t xml:space="preserve"> </w:t>
      </w:r>
      <w:r>
        <w:t xml:space="preserve">Financial Analyst</w:t>
      </w:r>
      <w:r>
        <w:t xml:space="preserve"> </w:t>
      </w:r>
      <w:r>
        <w:t xml:space="preserve">or the service provider.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of America, and the federal laws of the United States. Any disputes arising from this Purchase Order shall be resolved through binding arbitration in</w:t>
      </w:r>
      <w:r>
        <w:t xml:space="preserve"> </w:t>
      </w:r>
      <w:r>
        <w:t xml:space="preserve">United States Miami</w:t>
      </w:r>
      <w:r>
        <w:t xml:space="preserve">, in accordance with the rules of the American Arbitration Association.</w:t>
      </w:r>
    </w:p>
    <w:p>
      <w:pPr>
        <w:numPr>
          <w:ilvl w:val="0"/>
          <w:numId w:val="1001"/>
        </w:numPr>
        <w:pStyle w:val="Compact"/>
      </w:pPr>
      <w:r>
        <w:rPr>
          <w:bCs/>
          <w:b/>
        </w:rPr>
        <w:t xml:space="preserve">Insurance:</w:t>
      </w:r>
      <w:r>
        <w:t xml:space="preserve"> </w:t>
      </w:r>
      <w:r>
        <w:t xml:space="preserve">The service provider shall maintain professional liability insurance with a minimum coverage of $2,000,000 per occurrence and $5,000,000 in aggregate, valid throughout the duration of this Purchase Order and covering all operations in</w:t>
      </w:r>
      <w:r>
        <w:t xml:space="preserve"> </w:t>
      </w:r>
      <w:r>
        <w:t xml:space="preserve">United States Miami</w:t>
      </w:r>
      <w:r>
        <w:t xml:space="preserve">.</w:t>
      </w:r>
    </w:p>
    <w:p>
      <w:pPr>
        <w:pStyle w:val="FirstParagraph"/>
      </w:pPr>
      <w:r>
        <w:t xml:space="preserve">AUTHORIZATION AND ACCEPTANCE</w:t>
      </w:r>
    </w:p>
    <w:p>
      <w:pPr>
        <w:pStyle w:val="BodyText"/>
      </w:pPr>
      <w:r>
        <w:t xml:space="preserve">By signing below, the authorized representatives of both parties acknowledge and agree to all terms, conditions, and specifications outlined in this Purchase Order for the engagement of a</w:t>
      </w:r>
      <w:r>
        <w:t xml:space="preserve"> </w:t>
      </w:r>
      <w:r>
        <w:t xml:space="preserve">Financial Analyst</w:t>
      </w:r>
      <w:r>
        <w:t xml:space="preserve"> </w:t>
      </w:r>
      <w:r>
        <w:t xml:space="preserve">in</w:t>
      </w:r>
      <w:r>
        <w:t xml:space="preserve"> </w:t>
      </w:r>
      <w:r>
        <w:t xml:space="preserve">United States Miami</w:t>
      </w:r>
      <w:r>
        <w:t xml:space="preserve">. This document constitutes a binding agreement upon execution by both parties.</w:t>
      </w:r>
    </w:p>
    <w:p>
      <w:pPr>
        <w:pStyle w:val="BodyText"/>
      </w:pPr>
      <w:r>
        <w:rPr>
          <w:bCs/>
          <w:b/>
        </w:rPr>
        <w:t xml:space="preserve">BUYER – Atlantic Meridian Capital Group, LLC</w:t>
      </w:r>
    </w:p>
    <w:p>
      <w:pPr>
        <w:pStyle w:val="BodyText"/>
      </w:pPr>
      <w:r>
        <w:t xml:space="preserve">Name: Elena Vasquez</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SELLER – Meridian Analytics &amp; Advisory Partners, Inc.</w:t>
      </w:r>
    </w:p>
    <w:p>
      <w:pPr>
        <w:pStyle w:val="BodyText"/>
      </w:pPr>
      <w:r>
        <w:t xml:space="preserve">Name: James Okafor</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MIA-FA-2025-00472) is a controlled document of Atlantic Meridian Capital Group, LLC. Unauthorized reproduction or distribution is prohibited. All services described herein are to be performed in</w:t>
      </w:r>
      <w:r>
        <w:t xml:space="preserve"> </w:t>
      </w:r>
      <w:r>
        <w:t xml:space="preserve">United States Miami</w:t>
      </w:r>
      <w:r>
        <w:t xml:space="preserve">, Florida. For questions regarding this Purchase Order or the</w:t>
      </w:r>
      <w:r>
        <w:t xml:space="preserve"> </w:t>
      </w:r>
      <w:r>
        <w:t xml:space="preserve">Financial Analyst</w:t>
      </w:r>
      <w:r>
        <w:t xml:space="preserve"> </w:t>
      </w:r>
      <w:r>
        <w:t xml:space="preserve">engagement, contact the Procurement Department at (305) 555-0187.</w:t>
      </w:r>
    </w:p>
    <w:p>
      <w:pPr>
        <w:pStyle w:val="BodyText"/>
      </w:pPr>
      <w:r>
        <w:t xml:space="preserve">Document Version: 1.0 | Generated: June 12, 2025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United States Miami</dc:title>
  <dc:creator/>
  <dc:language>en</dc:language>
  <cp:keywords/>
  <dcterms:created xsi:type="dcterms:W3CDTF">2026-10-10T07:36:03Z</dcterms:created>
  <dcterms:modified xsi:type="dcterms:W3CDTF">2026-10-10T07:36:03Z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