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Venezuela Caracas | Republic of Venezuela</w:t>
      </w:r>
    </w:p>
    <w:bookmarkEnd w:id="20"/>
    <w:p>
      <w:pPr>
        <w:pStyle w:val="BodyText"/>
      </w:pPr>
      <w:r>
        <w:t xml:space="preserve">PO No.: VC-FA-2025-0047</w:t>
      </w:r>
      <w:r>
        <w:br/>
      </w:r>
      <w:r>
        <w:t xml:space="preserve">Date of Issue: June 12, 2025</w:t>
      </w:r>
      <w:r>
        <w:br/>
      </w:r>
      <w:r>
        <w:t xml:space="preserve">Valid Until: July 12, 2025</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Corporación Andina de Servicios Financieros, C.A.</w:t>
            </w:r>
          </w:p>
        </w:tc>
      </w:tr>
      <w:tr>
        <w:tc>
          <w:tcPr/>
          <w:p>
            <w:pPr>
              <w:pStyle w:val="Compact"/>
              <w:jc w:val="left"/>
            </w:pPr>
            <w:r>
              <w:t xml:space="preserve">Address</w:t>
            </w:r>
          </w:p>
        </w:tc>
        <w:tc>
          <w:tcPr/>
          <w:p>
            <w:pPr>
              <w:pStyle w:val="Compact"/>
              <w:jc w:val="left"/>
            </w:pPr>
            <w:r>
              <w:t xml:space="preserve">Torre Empresarial, Piso 14, Av. Francisco de Miranda, Chacao, Venezuela Caracas, 1060</w:t>
            </w:r>
          </w:p>
        </w:tc>
      </w:tr>
      <w:tr>
        <w:tc>
          <w:tcPr/>
          <w:p>
            <w:pPr>
              <w:pStyle w:val="Compact"/>
              <w:jc w:val="left"/>
            </w:pPr>
            <w:r>
              <w:t xml:space="preserve">RIF (Tax ID)</w:t>
            </w:r>
          </w:p>
        </w:tc>
        <w:tc>
          <w:tcPr/>
          <w:p>
            <w:pPr>
              <w:pStyle w:val="Compact"/>
              <w:jc w:val="left"/>
            </w:pPr>
            <w:r>
              <w:t xml:space="preserve">J-40287651-3</w:t>
            </w:r>
          </w:p>
        </w:tc>
      </w:tr>
      <w:tr>
        <w:tc>
          <w:tcPr/>
          <w:p>
            <w:pPr>
              <w:pStyle w:val="Compact"/>
              <w:jc w:val="left"/>
            </w:pPr>
            <w:r>
              <w:t xml:space="preserve">Contact Person</w:t>
            </w:r>
          </w:p>
        </w:tc>
        <w:tc>
          <w:tcPr/>
          <w:p>
            <w:pPr>
              <w:pStyle w:val="Compact"/>
              <w:jc w:val="left"/>
            </w:pPr>
            <w:r>
              <w:t xml:space="preserve">Ing. María Elena Rodríguez – Director of Procurement</w:t>
            </w:r>
          </w:p>
        </w:tc>
      </w:tr>
      <w:tr>
        <w:tc>
          <w:tcPr/>
          <w:p>
            <w:pPr>
              <w:pStyle w:val="Compact"/>
              <w:jc w:val="left"/>
            </w:pPr>
            <w:r>
              <w:t xml:space="preserve">Email</w:t>
            </w:r>
          </w:p>
        </w:tc>
        <w:tc>
          <w:tcPr/>
          <w:p>
            <w:pPr>
              <w:pStyle w:val="Compact"/>
              <w:jc w:val="left"/>
            </w:pPr>
            <w:r>
              <w:t xml:space="preserve">procurement@casf-venezuela.com</w:t>
            </w:r>
          </w:p>
        </w:tc>
      </w:tr>
      <w:tr>
        <w:tc>
          <w:tcPr/>
          <w:p>
            <w:pPr>
              <w:pStyle w:val="Compact"/>
              <w:jc w:val="left"/>
            </w:pPr>
            <w:r>
              <w:t xml:space="preserve">Phone</w:t>
            </w:r>
          </w:p>
        </w:tc>
        <w:tc>
          <w:tcPr/>
          <w:p>
            <w:pPr>
              <w:pStyle w:val="Compact"/>
              <w:jc w:val="left"/>
            </w:pPr>
            <w:r>
              <w:t xml:space="preserve">+58 (212) 555-0147</w:t>
            </w:r>
          </w:p>
        </w:tc>
      </w:tr>
    </w:tbl>
    <w:bookmarkEnd w:id="21"/>
    <w:bookmarkStart w:id="22" w:name="service-provider-seller-consultant"/>
    <w:p>
      <w:pPr>
        <w:pStyle w:val="Heading2"/>
      </w:pPr>
      <w:r>
        <w:t xml:space="preserve">2. Service Provider (Seller / Consultant)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Lic. Andrés Gustavo Martínez – Certified</w:t>
            </w:r>
            <w:r>
              <w:t xml:space="preserve"> </w:t>
            </w:r>
            <w:r>
              <w:t xml:space="preserve">Financial Analyst</w:t>
            </w:r>
          </w:p>
        </w:tc>
      </w:tr>
      <w:tr>
        <w:tc>
          <w:tcPr/>
          <w:p>
            <w:pPr>
              <w:pStyle w:val="Compact"/>
              <w:jc w:val="left"/>
            </w:pPr>
            <w:r>
              <w:t xml:space="preserve">Professional Address</w:t>
            </w:r>
          </w:p>
        </w:tc>
        <w:tc>
          <w:tcPr/>
          <w:p>
            <w:pPr>
              <w:pStyle w:val="Compact"/>
              <w:jc w:val="left"/>
            </w:pPr>
            <w:r>
              <w:t xml:space="preserve">Oficina 203, Edificio Mercantil, Av. Páez, El Rosal, Venezuela Caracas, 1080</w:t>
            </w:r>
          </w:p>
        </w:tc>
      </w:tr>
      <w:tr>
        <w:tc>
          <w:tcPr/>
          <w:p>
            <w:pPr>
              <w:pStyle w:val="Compact"/>
              <w:jc w:val="left"/>
            </w:pPr>
            <w:r>
              <w:t xml:space="preserve">RIF (Tax ID)</w:t>
            </w:r>
          </w:p>
        </w:tc>
        <w:tc>
          <w:tcPr/>
          <w:p>
            <w:pPr>
              <w:pStyle w:val="Compact"/>
              <w:jc w:val="left"/>
            </w:pPr>
            <w:r>
              <w:t xml:space="preserve">V-14.582.937-8</w:t>
            </w:r>
          </w:p>
        </w:tc>
      </w:tr>
      <w:tr>
        <w:tc>
          <w:tcPr/>
          <w:p>
            <w:pPr>
              <w:pStyle w:val="Compact"/>
              <w:jc w:val="left"/>
            </w:pPr>
            <w:r>
              <w:t xml:space="preserve">Professional License</w:t>
            </w:r>
          </w:p>
        </w:tc>
        <w:tc>
          <w:tcPr/>
          <w:p>
            <w:pPr>
              <w:pStyle w:val="Compact"/>
              <w:jc w:val="left"/>
            </w:pPr>
            <w:r>
              <w:t xml:space="preserve">INPREABOR No. 28.447 – Financial Analysis &amp; Advisory Services</w:t>
            </w:r>
          </w:p>
        </w:tc>
      </w:tr>
      <w:tr>
        <w:tc>
          <w:tcPr/>
          <w:p>
            <w:pPr>
              <w:pStyle w:val="Compact"/>
              <w:jc w:val="left"/>
            </w:pPr>
            <w:r>
              <w:t xml:space="preserve">Email</w:t>
            </w:r>
          </w:p>
        </w:tc>
        <w:tc>
          <w:tcPr/>
          <w:p>
            <w:pPr>
              <w:pStyle w:val="Compact"/>
              <w:jc w:val="left"/>
            </w:pPr>
            <w:r>
              <w:t xml:space="preserve">a.martinez@finanalyst-cc.com</w:t>
            </w:r>
          </w:p>
        </w:tc>
      </w:tr>
      <w:tr>
        <w:tc>
          <w:tcPr/>
          <w:p>
            <w:pPr>
              <w:pStyle w:val="Compact"/>
              <w:jc w:val="left"/>
            </w:pPr>
            <w:r>
              <w:t xml:space="preserve">Phone</w:t>
            </w:r>
          </w:p>
        </w:tc>
        <w:tc>
          <w:tcPr/>
          <w:p>
            <w:pPr>
              <w:pStyle w:val="Compact"/>
              <w:jc w:val="left"/>
            </w:pPr>
            <w:r>
              <w:t xml:space="preserve">+58 (412) 555-8823</w:t>
            </w:r>
          </w:p>
        </w:tc>
      </w:tr>
    </w:tbl>
    <w:bookmarkEnd w:id="22"/>
    <w:bookmarkStart w:id="23" w:name="X37ea7fc3ccdb9249fae5bd38bad30edd96a901e"/>
    <w:p>
      <w:pPr>
        <w:pStyle w:val="Heading2"/>
      </w:pPr>
      <w:r>
        <w:t xml:space="preserve">3. Description of Services – Financial Analyst Engagement</w:t>
      </w:r>
    </w:p>
    <w:p>
      <w:pPr>
        <w:pStyle w:val="FirstParagraph"/>
      </w:pPr>
      <w:r>
        <w:t xml:space="preserve">This</w:t>
      </w:r>
      <w:r>
        <w:t xml:space="preserve"> </w:t>
      </w:r>
      <w:r>
        <w:t xml:space="preserve">Purchase Order</w:t>
      </w:r>
      <w:r>
        <w:t xml:space="preserve"> </w:t>
      </w:r>
      <w:r>
        <w:t xml:space="preserve">is issued by Corporación Andina de Servicios Financieros, C.A., headquartered in</w:t>
      </w:r>
      <w:r>
        <w:t xml:space="preserve"> </w:t>
      </w:r>
      <w:r>
        <w:t xml:space="preserve">Venezuela Caracas</w:t>
      </w:r>
      <w:r>
        <w:t xml:space="preserve">, to formally engage the services of a qualified</w:t>
      </w:r>
      <w:r>
        <w:t xml:space="preserve"> </w:t>
      </w:r>
      <w:r>
        <w:t xml:space="preserve">Financial Analyst</w:t>
      </w:r>
      <w:r>
        <w:t xml:space="preserve"> </w:t>
      </w:r>
      <w:r>
        <w:t xml:space="preserve">for the period specified herein. The</w:t>
      </w:r>
      <w:r>
        <w:t xml:space="preserve"> </w:t>
      </w:r>
      <w:r>
        <w:t xml:space="preserve">Financial Analyst</w:t>
      </w:r>
      <w:r>
        <w:t xml:space="preserve"> </w:t>
      </w:r>
      <w:r>
        <w:t xml:space="preserve">shall provide comprehensive financial advisory, portfolio analysis, risk assessment, and strategic planning services to support the operational and investment decisions of the purchasing entity within the</w:t>
      </w:r>
      <w:r>
        <w:t xml:space="preserve"> </w:t>
      </w:r>
      <w:r>
        <w:t xml:space="preserve">Venezuela Caracas</w:t>
      </w:r>
      <w:r>
        <w:t xml:space="preserve"> </w:t>
      </w:r>
      <w:r>
        <w:t xml:space="preserve">metropolitan business district.</w:t>
      </w:r>
    </w:p>
    <w:p>
      <w:pPr>
        <w:pStyle w:val="BodyText"/>
      </w:pPr>
      <w:r>
        <w:t xml:space="preserve">The scope of work for the</w:t>
      </w:r>
      <w:r>
        <w:t xml:space="preserve"> </w:t>
      </w:r>
      <w:r>
        <w:t xml:space="preserve">Financial Analyst</w:t>
      </w:r>
      <w:r>
        <w:t xml:space="preserve"> </w:t>
      </w:r>
      <w:r>
        <w:t xml:space="preserve">includes, but is not limited to: quarterly financial statement analysis, cash flow forecasting, capital budgeting evaluations, credit risk modeling, regulatory compliance reporting in accordance with the Central Bank of Venezuela (BCV) guidelines, and preparation of investment memos for the Board of Directors. All deliverables shall be produced in both Spanish and English to accommodate the bilingual operations of the firm in</w:t>
      </w:r>
      <w:r>
        <w:t xml:space="preserve"> </w:t>
      </w:r>
      <w:r>
        <w:t xml:space="preserve">Venezuela Caracas</w:t>
      </w:r>
      <w:r>
        <w:t xml:space="preserv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Financial Analysis &amp; Reporting –</w:t>
            </w:r>
            <w:r>
              <w:t xml:space="preserve"> </w:t>
            </w:r>
            <w:r>
              <w:t xml:space="preserve">Financial Analyst</w:t>
            </w:r>
            <w:r>
              <w:t xml:space="preserve"> </w:t>
            </w:r>
            <w:r>
              <w:t xml:space="preserve">on-site in</w:t>
            </w:r>
            <w:r>
              <w:t xml:space="preserve"> </w:t>
            </w:r>
            <w:r>
              <w:t xml:space="preserve">Venezuela Caracas</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Quarterly Risk Assessment &amp; Portfolio Rebalancing Study</w:t>
            </w:r>
          </w:p>
        </w:tc>
        <w:tc>
          <w:tcPr/>
          <w:p>
            <w:pPr>
              <w:pStyle w:val="Compact"/>
              <w:jc w:val="left"/>
            </w:pPr>
            <w:r>
              <w:t xml:space="preserve">2 quarters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Regulatory Compliance Review (BCV &amp; SUNAVCO) –</w:t>
            </w:r>
            <w:r>
              <w:t xml:space="preserve"> </w:t>
            </w:r>
            <w:r>
              <w:t xml:space="preserve">Financial Analyst</w:t>
            </w:r>
            <w:r>
              <w:t xml:space="preserve"> </w:t>
            </w:r>
            <w:r>
              <w:t xml:space="preserve">advisory</w:t>
            </w:r>
          </w:p>
        </w:tc>
        <w:tc>
          <w:tcPr/>
          <w:p>
            <w:pPr>
              <w:pStyle w:val="Compact"/>
              <w:jc w:val="left"/>
            </w:pPr>
            <w:r>
              <w:t xml:space="preserve">1 engagement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Strategic Investment Feasibility Study for</w:t>
            </w:r>
            <w:r>
              <w:t xml:space="preserve"> </w:t>
            </w:r>
            <w:r>
              <w:t xml:space="preserve">Venezuela Caracas</w:t>
            </w:r>
            <w:r>
              <w:t xml:space="preserve"> </w:t>
            </w:r>
            <w:r>
              <w:t xml:space="preserve">Real Estate Portfolio</w:t>
            </w:r>
          </w:p>
        </w:tc>
        <w:tc>
          <w:tcPr/>
          <w:p>
            <w:pPr>
              <w:pStyle w:val="Compact"/>
              <w:jc w:val="left"/>
            </w:pPr>
            <w:r>
              <w:t xml:space="preserve">1 project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Ad-hoc Consulting &amp; Board Presentation Support –</w:t>
            </w:r>
            <w:r>
              <w:t xml:space="preserve"> </w:t>
            </w:r>
            <w:r>
              <w:t xml:space="preserve">Financial Analyst</w:t>
            </w:r>
          </w:p>
        </w:tc>
        <w:tc>
          <w:tcPr/>
          <w:p>
            <w:pPr>
              <w:pStyle w:val="Compact"/>
              <w:jc w:val="left"/>
            </w:pPr>
            <w:r>
              <w:t xml:space="preserve">As needed (max 40 hrs)</w:t>
            </w:r>
          </w:p>
        </w:tc>
        <w:tc>
          <w:tcPr/>
          <w:p>
            <w:pPr>
              <w:pStyle w:val="Compact"/>
              <w:jc w:val="left"/>
            </w:pPr>
            <w:r>
              <w:t xml:space="preserve">$120.00/hr</w:t>
            </w:r>
          </w:p>
        </w:tc>
        <w:tc>
          <w:tcPr/>
          <w:p>
            <w:pPr>
              <w:pStyle w:val="Compact"/>
              <w:jc w:val="left"/>
            </w:pPr>
            <w:r>
              <w:t xml:space="preserve">$4,800.00</w:t>
            </w:r>
          </w:p>
        </w:tc>
      </w:tr>
      <w:tr>
        <w:tc>
          <w:tcPr>
            <w:gridSpan w:val="4"/>
          </w:tcPr>
          <w:p>
            <w:pPr>
              <w:pStyle w:val="Compact"/>
              <w:jc w:val="left"/>
            </w:pPr>
            <w:r>
              <w:t xml:space="preserve">SUBTOTAL</w:t>
            </w:r>
          </w:p>
        </w:tc>
        <w:tc>
          <w:tcPr/>
          <w:p>
            <w:pPr>
              <w:pStyle w:val="Compact"/>
              <w:jc w:val="left"/>
            </w:pPr>
            <w:r>
              <w:t xml:space="preserve">$46,500.00</w:t>
            </w:r>
          </w:p>
        </w:tc>
      </w:tr>
      <w:tr>
        <w:tc>
          <w:tcPr>
            <w:gridSpan w:val="4"/>
          </w:tcPr>
          <w:p>
            <w:pPr>
              <w:pStyle w:val="Compact"/>
              <w:jc w:val="left"/>
            </w:pPr>
            <w:r>
              <w:t xml:space="preserve">IVA (16% – Venezuelan Value Added Tax)</w:t>
            </w:r>
          </w:p>
        </w:tc>
        <w:tc>
          <w:tcPr/>
          <w:p>
            <w:pPr>
              <w:pStyle w:val="Compact"/>
              <w:jc w:val="left"/>
            </w:pPr>
            <w:r>
              <w:t xml:space="preserve">$7,440.00</w:t>
            </w:r>
          </w:p>
        </w:tc>
      </w:tr>
      <w:tr>
        <w:tc>
          <w:tcPr>
            <w:gridSpan w:val="4"/>
          </w:tcPr>
          <w:p>
            <w:pPr>
              <w:pStyle w:val="Compact"/>
              <w:jc w:val="left"/>
            </w:pPr>
            <w:r>
              <w:t xml:space="preserve">TOTAL AMOUNT DUE (USD)</w:t>
            </w:r>
          </w:p>
        </w:tc>
        <w:tc>
          <w:tcPr/>
          <w:p>
            <w:pPr>
              <w:pStyle w:val="Compact"/>
              <w:jc w:val="left"/>
            </w:pPr>
            <w:r>
              <w:t xml:space="preserve">$53,940.00</w:t>
            </w:r>
          </w:p>
        </w:tc>
      </w:tr>
    </w:tbl>
    <w:bookmarkEnd w:id="24"/>
    <w:bookmarkStart w:id="25" w:name="payment-terms"/>
    <w:p>
      <w:pPr>
        <w:pStyle w:val="Heading2"/>
      </w:pPr>
      <w:r>
        <w:t xml:space="preserve">5. Payment Terms</w:t>
      </w:r>
    </w:p>
    <w:p>
      <w:pPr>
        <w:pStyle w:val="FirstParagraph"/>
      </w:pPr>
      <w:r>
        <w:t xml:space="preserve">Payment for the services rendered under this</w:t>
      </w:r>
      <w:r>
        <w:t xml:space="preserve"> </w:t>
      </w:r>
      <w:r>
        <w:t xml:space="preserve">Purchase Order</w:t>
      </w:r>
      <w:r>
        <w:t xml:space="preserve"> </w:t>
      </w:r>
      <w:r>
        <w:t xml:space="preserve">shall be made in United States Dollars (USD) via wire transfer to the bank account designated by the</w:t>
      </w:r>
      <w:r>
        <w:t xml:space="preserve"> </w:t>
      </w:r>
      <w:r>
        <w:t xml:space="preserve">Financial Analyst</w:t>
      </w:r>
      <w:r>
        <w:t xml:space="preserve">. Invoices shall be submitted on the last business day of each month. Payment is due within fifteen (15) calendar days of invoice receipt. Late payments shall accrue interest at a rate of 1.5% per month, in accordance with commercial practice in</w:t>
      </w:r>
      <w:r>
        <w:t xml:space="preserve"> </w:t>
      </w:r>
      <w:r>
        <w:t xml:space="preserve">Venezuela Caracas</w:t>
      </w:r>
      <w:r>
        <w:t xml:space="preserve">. The total contract value of this</w:t>
      </w:r>
      <w:r>
        <w:t xml:space="preserve"> </w:t>
      </w:r>
      <w:r>
        <w:t xml:space="preserve">Purchase Order</w:t>
      </w:r>
      <w:r>
        <w:t xml:space="preserve"> </w:t>
      </w:r>
      <w:r>
        <w:t xml:space="preserve">is Fifty-Three Thousand Nine Hundred Forty United States Dollars (USD $53,940.00), inclusive of applicable Venezuelan tax obligations.</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Financial Analyst</w:t>
      </w:r>
      <w:r>
        <w:t xml:space="preserve"> </w:t>
      </w:r>
      <w:r>
        <w:t xml:space="preserve">upon signature by both parties. All services shall be performed in</w:t>
      </w:r>
      <w:r>
        <w:t xml:space="preserve"> </w:t>
      </w:r>
      <w:r>
        <w:t xml:space="preserve">Venezuela Caracas</w:t>
      </w:r>
      <w:r>
        <w:t xml:space="preserve"> </w:t>
      </w:r>
      <w:r>
        <w:t xml:space="preserve">unless otherwise agreed in writing.</w:t>
      </w:r>
    </w:p>
    <w:p>
      <w:pPr>
        <w:numPr>
          <w:ilvl w:val="0"/>
          <w:numId w:val="1001"/>
        </w:numPr>
        <w:pStyle w:val="Compact"/>
      </w:pPr>
      <w:r>
        <w:t xml:space="preserve">The</w:t>
      </w:r>
      <w:r>
        <w:t xml:space="preserve"> </w:t>
      </w:r>
      <w:r>
        <w:t xml:space="preserve">Financial Analyst</w:t>
      </w:r>
      <w:r>
        <w:t xml:space="preserve"> </w:t>
      </w:r>
      <w:r>
        <w:t xml:space="preserve">shall maintain full professional confidentiality regarding all financial data, client information, and proprietary strategies of the purchasing entity. A separate Non-Disclosure Agreement (NDA) is attached as Annex A to this</w:t>
      </w:r>
      <w:r>
        <w:t xml:space="preserve"> </w:t>
      </w:r>
      <w:r>
        <w:t xml:space="preserve">Purchase Order</w:t>
      </w:r>
      <w:r>
        <w:t xml:space="preserve">.</w:t>
      </w:r>
    </w:p>
    <w:p>
      <w:pPr>
        <w:numPr>
          <w:ilvl w:val="0"/>
          <w:numId w:val="1001"/>
        </w:numPr>
        <w:pStyle w:val="Compact"/>
      </w:pPr>
      <w:r>
        <w:t xml:space="preserve">The</w:t>
      </w:r>
      <w:r>
        <w:t xml:space="preserve"> </w:t>
      </w:r>
      <w:r>
        <w:t xml:space="preserve">Financial Analyst</w:t>
      </w:r>
      <w:r>
        <w:t xml:space="preserve"> </w:t>
      </w:r>
      <w:r>
        <w:t xml:space="preserve">shall comply with all applicable Venezuelan financial regulations, including those issued by the Central Bank of Venezuela (BCV), the Superintendencia Nacional de Valores (SUNAVCO), and the tax authority (SENIAT) in</w:t>
      </w:r>
      <w:r>
        <w:t xml:space="preserve"> </w:t>
      </w:r>
      <w:r>
        <w:t xml:space="preserve">Venezuela Caracas</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Financial Analyst</w:t>
      </w:r>
      <w:r>
        <w:t xml:space="preserve"> </w:t>
      </w:r>
      <w:r>
        <w:t xml:space="preserve">shall be compensated for all services rendered up to the effective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Venezuela Caracas</w:t>
      </w:r>
      <w:r>
        <w:t xml:space="preserve">, in accordance with the Venezuelan Commercial Code and the applicable arbitration rules of the Chamber of Commerce of</w:t>
      </w:r>
      <w:r>
        <w:t xml:space="preserve"> </w:t>
      </w:r>
      <w:r>
        <w:t xml:space="preserve">Venezuela Caracas</w:t>
      </w:r>
      <w:r>
        <w:t xml:space="preserve">.</w:t>
      </w:r>
    </w:p>
    <w:p>
      <w:pPr>
        <w:numPr>
          <w:ilvl w:val="0"/>
          <w:numId w:val="1001"/>
        </w:numPr>
        <w:pStyle w:val="Compact"/>
      </w:pPr>
      <w:r>
        <w:t xml:space="preserve">The</w:t>
      </w:r>
      <w:r>
        <w:t xml:space="preserve"> </w:t>
      </w:r>
      <w:r>
        <w:t xml:space="preserve">Financial Analyst</w:t>
      </w:r>
      <w:r>
        <w:t xml:space="preserve"> </w:t>
      </w:r>
      <w:r>
        <w:t xml:space="preserve">shall provide a final comprehensive report within ten (10) business days of the completion of the engagement period, summarizing all analyses, recommendations, and financial projections prepared during the term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Venezuela. The venue for any legal proceedings shall be the commercial courts of</w:t>
      </w:r>
      <w:r>
        <w:t xml:space="preserve"> </w:t>
      </w:r>
      <w:r>
        <w:t xml:space="preserve">Venezuela Caracas</w:t>
      </w:r>
      <w:r>
        <w:t xml:space="preserve">.</w:t>
      </w:r>
    </w:p>
    <w:bookmarkEnd w:id="26"/>
    <w:bookmarkStart w:id="27" w:name="delivery-and-performance-schedule"/>
    <w:p>
      <w:pPr>
        <w:pStyle w:val="Heading2"/>
      </w:pPr>
      <w:r>
        <w:t xml:space="preserve">7. Delivery and Performance Schedule</w:t>
      </w:r>
    </w:p>
    <w:p>
      <w:pPr>
        <w:pStyle w:val="FirstParagraph"/>
      </w:pPr>
      <w:r>
        <w:t xml:space="preserve">The</w:t>
      </w:r>
      <w:r>
        <w:t xml:space="preserve"> </w:t>
      </w:r>
      <w:r>
        <w:t xml:space="preserve">Financial Analyst</w:t>
      </w:r>
      <w:r>
        <w:t xml:space="preserve"> </w:t>
      </w:r>
      <w:r>
        <w:t xml:space="preserve">shall commence services on July 1, 2025, and the engagement shall conclude on December 31, 2025. All monthly reports shall be delivered by the 5th business day of the following month. Quarterly risk assessments shall be delivered within ten (10) business days of quarter-end. The strategic investment feasibility study shall be delivered no later than October 15, 2025. All deliverables shall be submitted electronically and in hard copy to the offices of the purchasing entity located in</w:t>
      </w:r>
      <w:r>
        <w:t xml:space="preserve"> </w:t>
      </w:r>
      <w:r>
        <w:t xml:space="preserve">Venezuela Caracas</w:t>
      </w:r>
      <w:r>
        <w:t xml:space="preserve">.</w:t>
      </w:r>
    </w:p>
    <w:bookmarkEnd w:id="27"/>
    <w:p>
      <w:pPr>
        <w:pStyle w:val="BodyText"/>
      </w:pPr>
      <w:r>
        <w:rPr>
          <w:bCs/>
          <w:b/>
        </w:rPr>
        <w:t xml:space="preserve">For the Purchasing Entity:</w:t>
      </w:r>
    </w:p>
    <w:p>
      <w:pPr>
        <w:pStyle w:val="BodyText"/>
      </w:pPr>
      <w:r>
        <w:t xml:space="preserve">Corporación Andina de Servicios Financieros, C.A.</w:t>
      </w:r>
    </w:p>
    <w:p>
      <w:pPr>
        <w:pStyle w:val="BodyText"/>
      </w:pPr>
      <w:r>
        <w:rPr>
          <w:bCs/>
          <w:b/>
        </w:rPr>
        <w:t xml:space="preserve">Name:</w:t>
      </w:r>
      <w:r>
        <w:t xml:space="preserve"> </w:t>
      </w:r>
      <w:r>
        <w:t xml:space="preserve">Ing. María Elena Rodríguez</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Service Provider:</w:t>
      </w:r>
    </w:p>
    <w:p>
      <w:pPr>
        <w:pStyle w:val="BodyText"/>
      </w:pPr>
      <w:r>
        <w:t xml:space="preserve">Financial Analyst</w:t>
      </w:r>
      <w:r>
        <w:t xml:space="preserve"> </w:t>
      </w:r>
      <w:r>
        <w:t xml:space="preserve">– Lic. Andrés Gustavo Martínez</w:t>
      </w:r>
    </w:p>
    <w:p>
      <w:pPr>
        <w:pStyle w:val="BodyText"/>
      </w:pPr>
      <w:r>
        <w:rPr>
          <w:bCs/>
          <w:b/>
        </w:rPr>
        <w:t xml:space="preserve">Name:</w:t>
      </w:r>
      <w:r>
        <w:t xml:space="preserve"> </w:t>
      </w:r>
      <w:r>
        <w:t xml:space="preserve">Lic. Andrés Gustavo Martínez</w:t>
      </w:r>
      <w:r>
        <w:br/>
      </w:r>
      <w:r>
        <w:rPr>
          <w:bCs/>
          <w:b/>
        </w:rPr>
        <w:t xml:space="preserve">Title:</w:t>
      </w:r>
      <w:r>
        <w:t xml:space="preserve"> </w:t>
      </w:r>
      <w:r>
        <w:t xml:space="preserve">Certified</w:t>
      </w:r>
      <w:r>
        <w:t xml:space="preserve"> </w:t>
      </w:r>
      <w:r>
        <w:t xml:space="preserve">Financial Analyst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w:t>
      </w:r>
      <w:r>
        <w:t xml:space="preserve"> </w:t>
      </w:r>
      <w:r>
        <w:t xml:space="preserve">No. VC-FA-2025-0047 | Issued in</w:t>
      </w:r>
      <w:r>
        <w:t xml:space="preserve"> </w:t>
      </w:r>
      <w:r>
        <w:t xml:space="preserve">Venezuela Caracas</w:t>
      </w:r>
      <w:r>
        <w:t xml:space="preserve">, Republic of Venezuela</w:t>
      </w:r>
    </w:p>
    <w:p>
      <w:pPr>
        <w:pStyle w:val="BodyText"/>
      </w:pPr>
      <w:r>
        <w:t xml:space="preserve">This document is valid only when signed and stamped by both parties. Unauthorized reproduction is prohibited.</w:t>
      </w:r>
    </w:p>
    <w:p>
      <w:pPr>
        <w:pStyle w:val="BodyText"/>
      </w:pPr>
      <w:r>
        <w:t xml:space="preserve">Corporación Andina de Servicios Financieros, C.A. – Torre Empresarial, Piso 14, Av. Francisco de Miranda, Chacao,</w:t>
      </w:r>
      <w:r>
        <w:t xml:space="preserve"> </w:t>
      </w:r>
      <w:r>
        <w:t xml:space="preserve">Venezuela Caracas</w:t>
      </w:r>
      <w:r>
        <w:t xml:space="preserve">, 1060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Venezuela Caracas</dc:title>
  <dc:creator/>
  <dc:language>en</dc:language>
  <cp:keywords/>
  <dcterms:created xsi:type="dcterms:W3CDTF">2026-10-10T05:50:50Z</dcterms:created>
  <dcterms:modified xsi:type="dcterms:W3CDTF">2026-10-10T05:50:50Z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