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Firefighter Equipment &amp; Safety Gear Procurement</w:t>
      </w:r>
    </w:p>
    <w:p>
      <w:pPr>
        <w:pStyle w:val="BodyText"/>
      </w:pPr>
      <w:r>
        <w:t xml:space="preserve">Fire Services Department — India New Delhi</w:t>
      </w:r>
    </w:p>
    <w:bookmarkEnd w:id="20"/>
    <w:p>
      <w:pPr>
        <w:pStyle w:val="BodyText"/>
      </w:pPr>
      <w:r>
        <w:rPr>
          <w:bCs/>
          <w:b/>
        </w:rPr>
        <w:t xml:space="preserve">Purchase Order No.:</w:t>
      </w:r>
      <w:r>
        <w:t xml:space="preserve"> </w:t>
      </w:r>
      <w:r>
        <w:t xml:space="preserve">PO/FSD/ND/2025/04782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w:t>
      </w:r>
      <w:r>
        <w:t xml:space="preserve"> </w:t>
      </w:r>
      <w:r>
        <w:t xml:space="preserve">Fire Services Department, Government of India</w:t>
      </w:r>
      <w:r>
        <w:br/>
      </w:r>
      <w:r>
        <w:rPr>
          <w:bCs/>
          <w:b/>
        </w:rPr>
        <w:t xml:space="preserve">Address:</w:t>
      </w:r>
      <w:r>
        <w:t xml:space="preserve"> </w:t>
      </w:r>
      <w:r>
        <w:t xml:space="preserve">Fire Station Complex, Lodi Road, New Delhi, India – 110003</w:t>
      </w:r>
      <w:r>
        <w:br/>
      </w:r>
      <w:r>
        <w:rPr>
          <w:bCs/>
          <w:b/>
        </w:rPr>
        <w:t xml:space="preserve">Contact:</w:t>
      </w:r>
      <w:r>
        <w:t xml:space="preserve"> </w:t>
      </w:r>
      <w:r>
        <w:t xml:space="preserve">procurement@fsdnd.gov.in | +91-11-2338-4455</w:t>
      </w:r>
    </w:p>
    <w:p>
      <w:pPr>
        <w:pStyle w:val="BodyText"/>
      </w:pPr>
      <w:r>
        <w:t xml:space="preserve">1. 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Aravali Fire Safety &amp; Industrial Equipment Pvt. Ltd.</w:t>
            </w:r>
          </w:p>
        </w:tc>
      </w:tr>
      <w:tr>
        <w:tc>
          <w:tcPr/>
          <w:p>
            <w:pPr>
              <w:pStyle w:val="Compact"/>
              <w:jc w:val="left"/>
            </w:pPr>
            <w:r>
              <w:t xml:space="preserve">Registered Address</w:t>
            </w:r>
          </w:p>
        </w:tc>
        <w:tc>
          <w:tcPr/>
          <w:p>
            <w:pPr>
              <w:pStyle w:val="Compact"/>
              <w:jc w:val="left"/>
            </w:pPr>
            <w:r>
              <w:t xml:space="preserve">Plot 42, Industrial Area Phase-II, Okhla, New Delhi, India – 110020</w:t>
            </w:r>
          </w:p>
        </w:tc>
      </w:tr>
      <w:tr>
        <w:tc>
          <w:tcPr/>
          <w:p>
            <w:pPr>
              <w:pStyle w:val="Compact"/>
              <w:jc w:val="left"/>
            </w:pPr>
            <w:r>
              <w:t xml:space="preserve">GSTIN</w:t>
            </w:r>
          </w:p>
        </w:tc>
        <w:tc>
          <w:tcPr/>
          <w:p>
            <w:pPr>
              <w:pStyle w:val="Compact"/>
              <w:jc w:val="left"/>
            </w:pPr>
            <w:r>
              <w:t xml:space="preserve">07AABCA1234F1Z5</w:t>
            </w:r>
          </w:p>
        </w:tc>
      </w:tr>
      <w:tr>
        <w:tc>
          <w:tcPr/>
          <w:p>
            <w:pPr>
              <w:pStyle w:val="Compact"/>
              <w:jc w:val="left"/>
            </w:pPr>
            <w:r>
              <w:t xml:space="preserve">Contact Person</w:t>
            </w:r>
          </w:p>
        </w:tc>
        <w:tc>
          <w:tcPr/>
          <w:p>
            <w:pPr>
              <w:pStyle w:val="Compact"/>
              <w:jc w:val="left"/>
            </w:pPr>
            <w:r>
              <w:t xml:space="preserve">Mr. Rajesh Kumar, Head of Sales &amp; Distribution</w:t>
            </w:r>
          </w:p>
        </w:tc>
      </w:tr>
      <w:tr>
        <w:tc>
          <w:tcPr/>
          <w:p>
            <w:pPr>
              <w:pStyle w:val="Compact"/>
              <w:jc w:val="left"/>
            </w:pPr>
            <w:r>
              <w:t xml:space="preserve">Phone / Email</w:t>
            </w:r>
          </w:p>
        </w:tc>
        <w:tc>
          <w:tcPr/>
          <w:p>
            <w:pPr>
              <w:pStyle w:val="Compact"/>
              <w:jc w:val="left"/>
            </w:pPr>
            <w:r>
              <w:t xml:space="preserve">+91-98110-22334 | sales@aravalfiresafety.in</w:t>
            </w:r>
          </w:p>
        </w:tc>
      </w:tr>
    </w:tbl>
    <w:p>
      <w:pPr>
        <w:pStyle w:val="BodyText"/>
      </w:pPr>
      <w:r>
        <w:t xml:space="preserve">2. SCOPE OF THIS PURCHASE ORDER</w:t>
      </w:r>
    </w:p>
    <w:p>
      <w:pPr>
        <w:pStyle w:val="BodyText"/>
      </w:pPr>
      <w:r>
        <w:t xml:space="preserve">This</w:t>
      </w:r>
      <w:r>
        <w:t xml:space="preserve"> </w:t>
      </w:r>
      <w:r>
        <w:t xml:space="preserve">Purchase Order</w:t>
      </w:r>
      <w:r>
        <w:t xml:space="preserve"> </w:t>
      </w:r>
      <w:r>
        <w:t xml:space="preserve">is issued by the Fire Services Department, Government of India, for the procurement of comprehensive</w:t>
      </w:r>
      <w:r>
        <w:t xml:space="preserve"> </w:t>
      </w:r>
      <w:r>
        <w:t xml:space="preserve">Firefighter</w:t>
      </w:r>
      <w:r>
        <w:t xml:space="preserve"> </w:t>
      </w:r>
      <w:r>
        <w:t xml:space="preserve">personal protective equipment (PPE), structural firefighting apparatus, and associated safety gear. The entire procurement is intended for deployment across all active</w:t>
      </w:r>
      <w:r>
        <w:t xml:space="preserve"> </w:t>
      </w:r>
      <w:r>
        <w:t xml:space="preserve">Firefighter</w:t>
      </w:r>
      <w:r>
        <w:t xml:space="preserve"> </w:t>
      </w:r>
      <w:r>
        <w:t xml:space="preserve">stations and mobile response units operating within the municipal and national capital territory of</w:t>
      </w:r>
      <w:r>
        <w:t xml:space="preserve"> </w:t>
      </w:r>
      <w:r>
        <w:t xml:space="preserve">India New Delhi</w:t>
      </w:r>
      <w:r>
        <w:t xml:space="preserve">. The Firefighter personnel assigned to these units in India New Delhi will be the primary end-users of all items listed herein. This Purchase Order supersedes all prior verbal agreements, quotations, and preliminary correspondence between the Buyer and the Supplier regarding Firefighter equipment for the India New Delhi jurisdiction.</w:t>
      </w:r>
    </w:p>
    <w:p>
      <w:pPr>
        <w:pStyle w:val="BodyText"/>
      </w:pPr>
      <w:r>
        <w:t xml:space="preserve">3. ITEMIZED LIST OF FIREFIGHTER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Firefighter Item</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Firefighter Turnout Coat (NOMEX blend, flame-retardant)</w:t>
            </w:r>
          </w:p>
        </w:tc>
        <w:tc>
          <w:tcPr/>
          <w:p>
            <w:pPr>
              <w:pStyle w:val="Compact"/>
              <w:jc w:val="left"/>
            </w:pPr>
            <w:r>
              <w:t xml:space="preserve">IS 15449 / NFPA 2112</w:t>
            </w:r>
          </w:p>
        </w:tc>
        <w:tc>
          <w:tcPr/>
          <w:p>
            <w:pPr>
              <w:pStyle w:val="Compact"/>
              <w:jc w:val="left"/>
            </w:pPr>
            <w:r>
              <w:t xml:space="preserve">250</w:t>
            </w:r>
          </w:p>
        </w:tc>
        <w:tc>
          <w:tcPr/>
          <w:p>
            <w:pPr>
              <w:pStyle w:val="Compact"/>
              <w:jc w:val="left"/>
            </w:pPr>
            <w:r>
              <w:t xml:space="preserve">18,500</w:t>
            </w:r>
          </w:p>
        </w:tc>
        <w:tc>
          <w:tcPr/>
          <w:p>
            <w:pPr>
              <w:pStyle w:val="Compact"/>
              <w:jc w:val="left"/>
            </w:pPr>
            <w:r>
              <w:t xml:space="preserve">4,625,000</w:t>
            </w:r>
          </w:p>
        </w:tc>
      </w:tr>
      <w:tr>
        <w:tc>
          <w:tcPr/>
          <w:p>
            <w:pPr>
              <w:pStyle w:val="Compact"/>
              <w:jc w:val="left"/>
            </w:pPr>
            <w:r>
              <w:t xml:space="preserve">2</w:t>
            </w:r>
          </w:p>
        </w:tc>
        <w:tc>
          <w:tcPr/>
          <w:p>
            <w:pPr>
              <w:pStyle w:val="Compact"/>
              <w:jc w:val="left"/>
            </w:pPr>
            <w:r>
              <w:t xml:space="preserve">Firefighter Turnout Trousers (NOMEX blend, flame-retardant)</w:t>
            </w:r>
          </w:p>
        </w:tc>
        <w:tc>
          <w:tcPr/>
          <w:p>
            <w:pPr>
              <w:pStyle w:val="Compact"/>
              <w:jc w:val="left"/>
            </w:pPr>
            <w:r>
              <w:t xml:space="preserve">IS 15449 / NFPA 2112</w:t>
            </w:r>
          </w:p>
        </w:tc>
        <w:tc>
          <w:tcPr/>
          <w:p>
            <w:pPr>
              <w:pStyle w:val="Compact"/>
              <w:jc w:val="left"/>
            </w:pPr>
            <w:r>
              <w:t xml:space="preserve">250</w:t>
            </w:r>
          </w:p>
        </w:tc>
        <w:tc>
          <w:tcPr/>
          <w:p>
            <w:pPr>
              <w:pStyle w:val="Compact"/>
              <w:jc w:val="left"/>
            </w:pPr>
            <w:r>
              <w:t xml:space="preserve">14,200</w:t>
            </w:r>
          </w:p>
        </w:tc>
        <w:tc>
          <w:tcPr/>
          <w:p>
            <w:pPr>
              <w:pStyle w:val="Compact"/>
              <w:jc w:val="left"/>
            </w:pPr>
            <w:r>
              <w:t xml:space="preserve">3,550,000</w:t>
            </w:r>
          </w:p>
        </w:tc>
      </w:tr>
      <w:tr>
        <w:tc>
          <w:tcPr/>
          <w:p>
            <w:pPr>
              <w:pStyle w:val="Compact"/>
              <w:jc w:val="left"/>
            </w:pPr>
            <w:r>
              <w:t xml:space="preserve">3</w:t>
            </w:r>
          </w:p>
        </w:tc>
        <w:tc>
          <w:tcPr/>
          <w:p>
            <w:pPr>
              <w:pStyle w:val="Compact"/>
              <w:jc w:val="left"/>
            </w:pPr>
            <w:r>
              <w:t xml:space="preserve">Firefighter SCBA (Self-Contained Breathing Apparatus), 30-min</w:t>
            </w:r>
          </w:p>
        </w:tc>
        <w:tc>
          <w:tcPr/>
          <w:p>
            <w:pPr>
              <w:pStyle w:val="Compact"/>
              <w:jc w:val="left"/>
            </w:pPr>
            <w:r>
              <w:t xml:space="preserve">IS 15449 / EN 137</w:t>
            </w:r>
          </w:p>
        </w:tc>
        <w:tc>
          <w:tcPr/>
          <w:p>
            <w:pPr>
              <w:pStyle w:val="Compact"/>
              <w:jc w:val="left"/>
            </w:pPr>
            <w:r>
              <w:t xml:space="preserve">120</w:t>
            </w:r>
          </w:p>
        </w:tc>
        <w:tc>
          <w:tcPr/>
          <w:p>
            <w:pPr>
              <w:pStyle w:val="Compact"/>
              <w:jc w:val="left"/>
            </w:pPr>
            <w:r>
              <w:t xml:space="preserve">92,000</w:t>
            </w:r>
          </w:p>
        </w:tc>
        <w:tc>
          <w:tcPr/>
          <w:p>
            <w:pPr>
              <w:pStyle w:val="Compact"/>
              <w:jc w:val="left"/>
            </w:pPr>
            <w:r>
              <w:t xml:space="preserve">11,040,000</w:t>
            </w:r>
          </w:p>
        </w:tc>
      </w:tr>
      <w:tr>
        <w:tc>
          <w:tcPr/>
          <w:p>
            <w:pPr>
              <w:pStyle w:val="Compact"/>
              <w:jc w:val="left"/>
            </w:pPr>
            <w:r>
              <w:t xml:space="preserve">4</w:t>
            </w:r>
          </w:p>
        </w:tc>
        <w:tc>
          <w:tcPr/>
          <w:p>
            <w:pPr>
              <w:pStyle w:val="Compact"/>
              <w:jc w:val="left"/>
            </w:pPr>
            <w:r>
              <w:t xml:space="preserve">Firefighter Helmet with face shield and chin strap</w:t>
            </w:r>
          </w:p>
        </w:tc>
        <w:tc>
          <w:tcPr/>
          <w:p>
            <w:pPr>
              <w:pStyle w:val="Compact"/>
              <w:jc w:val="left"/>
            </w:pPr>
            <w:r>
              <w:t xml:space="preserve">IS 15449 / NFPA 1971</w:t>
            </w:r>
          </w:p>
        </w:tc>
        <w:tc>
          <w:tcPr/>
          <w:p>
            <w:pPr>
              <w:pStyle w:val="Compact"/>
              <w:jc w:val="left"/>
            </w:pPr>
            <w:r>
              <w:t xml:space="preserve">250</w:t>
            </w:r>
          </w:p>
        </w:tc>
        <w:tc>
          <w:tcPr/>
          <w:p>
            <w:pPr>
              <w:pStyle w:val="Compact"/>
              <w:jc w:val="left"/>
            </w:pPr>
            <w:r>
              <w:t xml:space="preserve">6,800</w:t>
            </w:r>
          </w:p>
        </w:tc>
        <w:tc>
          <w:tcPr/>
          <w:p>
            <w:pPr>
              <w:pStyle w:val="Compact"/>
              <w:jc w:val="left"/>
            </w:pPr>
            <w:r>
              <w:t xml:space="preserve">1,700,000</w:t>
            </w:r>
          </w:p>
        </w:tc>
      </w:tr>
      <w:tr>
        <w:tc>
          <w:tcPr/>
          <w:p>
            <w:pPr>
              <w:pStyle w:val="Compact"/>
              <w:jc w:val="left"/>
            </w:pPr>
            <w:r>
              <w:t xml:space="preserve">5</w:t>
            </w:r>
          </w:p>
        </w:tc>
        <w:tc>
          <w:tcPr/>
          <w:p>
            <w:pPr>
              <w:pStyle w:val="Compact"/>
              <w:jc w:val="left"/>
            </w:pPr>
            <w:r>
              <w:t xml:space="preserve">Firefighter Protective Gloves (heat-resistant, cut-resistant)</w:t>
            </w:r>
          </w:p>
        </w:tc>
        <w:tc>
          <w:tcPr/>
          <w:p>
            <w:pPr>
              <w:pStyle w:val="Compact"/>
              <w:jc w:val="left"/>
            </w:pPr>
            <w:r>
              <w:t xml:space="preserve">IS 15449 / EN 407</w:t>
            </w:r>
          </w:p>
        </w:tc>
        <w:tc>
          <w:tcPr/>
          <w:p>
            <w:pPr>
              <w:pStyle w:val="Compact"/>
              <w:jc w:val="left"/>
            </w:pPr>
            <w:r>
              <w:t xml:space="preserve">500</w:t>
            </w:r>
          </w:p>
        </w:tc>
        <w:tc>
          <w:tcPr/>
          <w:p>
            <w:pPr>
              <w:pStyle w:val="Compact"/>
              <w:jc w:val="left"/>
            </w:pPr>
            <w:r>
              <w:t xml:space="preserve">3,200</w:t>
            </w:r>
          </w:p>
        </w:tc>
        <w:tc>
          <w:tcPr/>
          <w:p>
            <w:pPr>
              <w:pStyle w:val="Compact"/>
              <w:jc w:val="left"/>
            </w:pPr>
            <w:r>
              <w:t xml:space="preserve">1,600,000</w:t>
            </w:r>
          </w:p>
        </w:tc>
      </w:tr>
      <w:tr>
        <w:tc>
          <w:tcPr/>
          <w:p>
            <w:pPr>
              <w:pStyle w:val="Compact"/>
              <w:jc w:val="left"/>
            </w:pPr>
            <w:r>
              <w:t xml:space="preserve">6</w:t>
            </w:r>
          </w:p>
        </w:tc>
        <w:tc>
          <w:tcPr/>
          <w:p>
            <w:pPr>
              <w:pStyle w:val="Compact"/>
              <w:jc w:val="left"/>
            </w:pPr>
            <w:r>
              <w:t xml:space="preserve">Firefighter Safety Boots (steel-toe, metatarsal guard)</w:t>
            </w:r>
          </w:p>
        </w:tc>
        <w:tc>
          <w:tcPr/>
          <w:p>
            <w:pPr>
              <w:pStyle w:val="Compact"/>
              <w:jc w:val="left"/>
            </w:pPr>
            <w:r>
              <w:t xml:space="preserve">IS 15449 / EN ISO 20345</w:t>
            </w:r>
          </w:p>
        </w:tc>
        <w:tc>
          <w:tcPr/>
          <w:p>
            <w:pPr>
              <w:pStyle w:val="Compact"/>
              <w:jc w:val="left"/>
            </w:pPr>
            <w:r>
              <w:t xml:space="preserve">250</w:t>
            </w:r>
          </w:p>
        </w:tc>
        <w:tc>
          <w:tcPr/>
          <w:p>
            <w:pPr>
              <w:pStyle w:val="Compact"/>
              <w:jc w:val="left"/>
            </w:pPr>
            <w:r>
              <w:t xml:space="preserve">8,900</w:t>
            </w:r>
          </w:p>
        </w:tc>
        <w:tc>
          <w:tcPr/>
          <w:p>
            <w:pPr>
              <w:pStyle w:val="Compact"/>
              <w:jc w:val="left"/>
            </w:pPr>
            <w:r>
              <w:t xml:space="preserve">2,225,000</w:t>
            </w:r>
          </w:p>
        </w:tc>
      </w:tr>
      <w:tr>
        <w:tc>
          <w:tcPr/>
          <w:p>
            <w:pPr>
              <w:pStyle w:val="Compact"/>
              <w:jc w:val="left"/>
            </w:pPr>
            <w:r>
              <w:t xml:space="preserve">7</w:t>
            </w:r>
          </w:p>
        </w:tc>
        <w:tc>
          <w:tcPr/>
          <w:p>
            <w:pPr>
              <w:pStyle w:val="Compact"/>
              <w:jc w:val="left"/>
            </w:pPr>
            <w:r>
              <w:t xml:space="preserve">Firefighter Thermal Imaging Camera (handheld)</w:t>
            </w:r>
          </w:p>
        </w:tc>
        <w:tc>
          <w:tcPr/>
          <w:p>
            <w:pPr>
              <w:pStyle w:val="Compact"/>
              <w:jc w:val="left"/>
            </w:pPr>
            <w:r>
              <w:t xml:space="preserve">EN 60950 / UL 2075</w:t>
            </w:r>
          </w:p>
        </w:tc>
        <w:tc>
          <w:tcPr/>
          <w:p>
            <w:pPr>
              <w:pStyle w:val="Compact"/>
              <w:jc w:val="left"/>
            </w:pPr>
            <w:r>
              <w:t xml:space="preserve">40</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8</w:t>
            </w:r>
          </w:p>
        </w:tc>
        <w:tc>
          <w:tcPr/>
          <w:p>
            <w:pPr>
              <w:pStyle w:val="Compact"/>
              <w:jc w:val="left"/>
            </w:pPr>
            <w:r>
              <w:t xml:space="preserve">Firefighter Rescue Rope (static, 11 mm, 50 m)</w:t>
            </w:r>
          </w:p>
        </w:tc>
        <w:tc>
          <w:tcPr/>
          <w:p>
            <w:pPr>
              <w:pStyle w:val="Compact"/>
              <w:jc w:val="left"/>
            </w:pPr>
            <w:r>
              <w:t xml:space="preserve">EN 1891 Type A</w:t>
            </w:r>
          </w:p>
        </w:tc>
        <w:tc>
          <w:tcPr/>
          <w:p>
            <w:pPr>
              <w:pStyle w:val="Compact"/>
              <w:jc w:val="left"/>
            </w:pPr>
            <w:r>
              <w:t xml:space="preserve">200</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9</w:t>
            </w:r>
          </w:p>
        </w:tc>
        <w:tc>
          <w:tcPr/>
          <w:p>
            <w:pPr>
              <w:pStyle w:val="Compact"/>
              <w:jc w:val="left"/>
            </w:pPr>
            <w:r>
              <w:t xml:space="preserve">Firefighter Hydraulic Rescue Tool Set (spreaders, cutters, rams)</w:t>
            </w:r>
          </w:p>
        </w:tc>
        <w:tc>
          <w:tcPr/>
          <w:p>
            <w:pPr>
              <w:pStyle w:val="Compact"/>
              <w:jc w:val="left"/>
            </w:pPr>
            <w:r>
              <w:t xml:space="preserve">EN 1040 / NFPA 1932</w:t>
            </w:r>
          </w:p>
        </w:tc>
        <w:tc>
          <w:tcPr/>
          <w:p>
            <w:pPr>
              <w:pStyle w:val="Compact"/>
              <w:jc w:val="left"/>
            </w:pPr>
            <w:r>
              <w:t xml:space="preserve">15</w:t>
            </w:r>
          </w:p>
        </w:tc>
        <w:tc>
          <w:tcPr/>
          <w:p>
            <w:pPr>
              <w:pStyle w:val="Compact"/>
              <w:jc w:val="left"/>
            </w:pPr>
            <w:r>
              <w:t xml:space="preserve">4,20,000</w:t>
            </w:r>
          </w:p>
        </w:tc>
        <w:tc>
          <w:tcPr/>
          <w:p>
            <w:pPr>
              <w:pStyle w:val="Compact"/>
              <w:jc w:val="left"/>
            </w:pPr>
            <w:r>
              <w:t xml:space="preserve">6,300,000</w:t>
            </w:r>
          </w:p>
        </w:tc>
      </w:tr>
      <w:tr>
        <w:tc>
          <w:tcPr/>
          <w:p>
            <w:pPr>
              <w:pStyle w:val="Compact"/>
              <w:jc w:val="left"/>
            </w:pPr>
            <w:r>
              <w:t xml:space="preserve">10</w:t>
            </w:r>
          </w:p>
        </w:tc>
        <w:tc>
          <w:tcPr/>
          <w:p>
            <w:pPr>
              <w:pStyle w:val="Compact"/>
              <w:jc w:val="left"/>
            </w:pPr>
            <w:r>
              <w:t xml:space="preserve">Firefighter First-Aid &amp; Burn Treatment Kits (per station)</w:t>
            </w:r>
          </w:p>
        </w:tc>
        <w:tc>
          <w:tcPr/>
          <w:p>
            <w:pPr>
              <w:pStyle w:val="Compact"/>
              <w:jc w:val="left"/>
            </w:pPr>
            <w:r>
              <w:t xml:space="preserve">IS 15449 / WHO guidelines</w:t>
            </w:r>
          </w:p>
        </w:tc>
        <w:tc>
          <w:tcPr/>
          <w:p>
            <w:pPr>
              <w:pStyle w:val="Compact"/>
              <w:jc w:val="left"/>
            </w:pPr>
            <w:r>
              <w:t xml:space="preserve">60</w:t>
            </w:r>
          </w:p>
        </w:tc>
        <w:tc>
          <w:tcPr/>
          <w:p>
            <w:pPr>
              <w:pStyle w:val="Compact"/>
              <w:jc w:val="left"/>
            </w:pPr>
            <w:r>
              <w:t xml:space="preserve">12,500</w:t>
            </w:r>
          </w:p>
        </w:tc>
        <w:tc>
          <w:tcPr/>
          <w:p>
            <w:pPr>
              <w:pStyle w:val="Compact"/>
              <w:jc w:val="left"/>
            </w:pPr>
            <w:r>
              <w:t xml:space="preserve">750,000</w:t>
            </w:r>
          </w:p>
        </w:tc>
      </w:tr>
      <w:tr>
        <w:tc>
          <w:tcPr>
            <w:gridSpan w:val="5"/>
          </w:tcPr>
          <w:p>
            <w:pPr>
              <w:pStyle w:val="Compact"/>
              <w:jc w:val="right"/>
            </w:pPr>
            <w:r>
              <w:t xml:space="preserve">TOTAL AMOUNT (INR)</w:t>
            </w:r>
          </w:p>
        </w:tc>
        <w:tc>
          <w:tcPr/>
          <w:p>
            <w:pPr>
              <w:pStyle w:val="Compact"/>
              <w:jc w:val="left"/>
            </w:pPr>
            <w:r>
              <w:t xml:space="preserve">40,090,000</w:t>
            </w:r>
          </w:p>
        </w:tc>
      </w:tr>
      <w:tr>
        <w:tc>
          <w:tcPr>
            <w:gridSpan w:val="5"/>
          </w:tcPr>
          <w:p>
            <w:pPr>
              <w:pStyle w:val="Compact"/>
              <w:jc w:val="right"/>
            </w:pPr>
            <w:r>
              <w:t xml:space="preserve">GST @ 18%</w:t>
            </w:r>
          </w:p>
        </w:tc>
        <w:tc>
          <w:tcPr/>
          <w:p>
            <w:pPr>
              <w:pStyle w:val="Compact"/>
              <w:jc w:val="left"/>
            </w:pPr>
            <w:r>
              <w:t xml:space="preserve">7,216,200</w:t>
            </w:r>
          </w:p>
        </w:tc>
      </w:tr>
      <w:tr>
        <w:tc>
          <w:tcPr>
            <w:gridSpan w:val="5"/>
          </w:tcPr>
          <w:p>
            <w:pPr>
              <w:pStyle w:val="Compact"/>
              <w:jc w:val="right"/>
            </w:pPr>
            <w:r>
              <w:t xml:space="preserve">GRAND TOTAL (INR)</w:t>
            </w:r>
          </w:p>
        </w:tc>
        <w:tc>
          <w:tcPr/>
          <w:p>
            <w:pPr>
              <w:pStyle w:val="Compact"/>
              <w:jc w:val="left"/>
            </w:pPr>
            <w:r>
              <w:t xml:space="preserve">47,306,200</w:t>
            </w:r>
          </w:p>
        </w:tc>
      </w:tr>
    </w:tbl>
    <w:p>
      <w:pPr>
        <w:pStyle w:val="BodyText"/>
      </w:pPr>
      <w:r>
        <w:t xml:space="preserve">4. DELIVERY TERMS &amp; LOCATION</w:t>
      </w:r>
    </w:p>
    <w:p>
      <w:pPr>
        <w:pStyle w:val="BodyText"/>
      </w:pPr>
      <w:r>
        <w:t xml:space="preserve">All Firefighter equipment listed in this Purchase Order shall be delivered to the designated Fire Services Department warehouses and individual Firefighter stations located throughout India New Delhi. The primary delivery address is the Central Firefighter Equipment Depot, Lodi Road, New Delhi, India – 110003. Secondary delivery points include the Firefighter stations at Connaught Place, Dwarka, Rohini, Noida Extension, and Gurugram border posts within the India New Delhi operational zone. The Supplier shall ensure that all Firefighter gear is delivered in original, unopened packaging with complete manufacturer documentation, test certificates, and compliance reports. Delivery must be completed no later than 45 calendar days from the date of this Purchase Order. The Supplier bears all transportation, insurance, and handling costs up to the point of delivery in India New Delhi.</w:t>
      </w:r>
    </w:p>
    <w:p>
      <w:pPr>
        <w:pStyle w:val="BodyText"/>
      </w:pPr>
      <w:r>
        <w:t xml:space="preserve">5. PAYMENT TERMS</w:t>
      </w:r>
    </w:p>
    <w:p>
      <w:pPr>
        <w:numPr>
          <w:ilvl w:val="0"/>
          <w:numId w:val="1001"/>
        </w:numPr>
        <w:pStyle w:val="Compact"/>
      </w:pPr>
      <w:r>
        <w:t xml:space="preserve">Payment shall be made via RTGS/NEFT to the Supplier's designated bank account upon successful inspection and acceptance of all Firefighter items by the Buyer's Quality Assurance Cell in India New Delhi.</w:t>
      </w:r>
    </w:p>
    <w:p>
      <w:pPr>
        <w:numPr>
          <w:ilvl w:val="0"/>
          <w:numId w:val="1001"/>
        </w:numPr>
        <w:pStyle w:val="Compact"/>
      </w:pPr>
      <w:r>
        <w:t xml:space="preserve">30% advance payment (INR 14,191,860) shall be released within 7 working days of the Purchase Order being countersigned by both parties.</w:t>
      </w:r>
    </w:p>
    <w:p>
      <w:pPr>
        <w:numPr>
          <w:ilvl w:val="0"/>
          <w:numId w:val="1001"/>
        </w:numPr>
        <w:pStyle w:val="Compact"/>
      </w:pPr>
      <w:r>
        <w:t xml:space="preserve">60% balance payment (INR 28,383,720) shall be released within 15 working days of final delivery and acceptance at the India New Delhi depot.</w:t>
      </w:r>
    </w:p>
    <w:p>
      <w:pPr>
        <w:numPr>
          <w:ilvl w:val="0"/>
          <w:numId w:val="1001"/>
        </w:numPr>
        <w:pStyle w:val="Compact"/>
      </w:pPr>
      <w:r>
        <w:t xml:space="preserve">10% retention (INR 4,730,620) shall be held for a period of 12 months to cover any warranty claims on Firefighter equipment.</w:t>
      </w:r>
    </w:p>
    <w:p>
      <w:pPr>
        <w:numPr>
          <w:ilvl w:val="0"/>
          <w:numId w:val="1001"/>
        </w:numPr>
        <w:pStyle w:val="Compact"/>
      </w:pPr>
      <w:r>
        <w:t xml:space="preserve">All amounts are inclusive of applicable GST as per the Goods and Services Tax Act, 2017, applicable in India New Delhi.</w:t>
      </w:r>
    </w:p>
    <w:p>
      <w:pPr>
        <w:pStyle w:val="FirstParagraph"/>
      </w:pPr>
      <w:r>
        <w:t xml:space="preserve">6. QUALITY, COMPLIANCE &amp; WARRANTY</w:t>
      </w:r>
    </w:p>
    <w:p>
      <w:pPr>
        <w:pStyle w:val="BodyText"/>
      </w:pPr>
      <w:r>
        <w:t xml:space="preserve">Every Firefighter item supplied under this Purchase Order must comply with the Indian Standards (IS) specified in Section 3 and, where applicable, international standards (NFPA, EN). The Supplier shall provide a minimum 3-year warranty on all Firefighter structural gear and a 5-year warranty on SCBA units and hydraulic rescue tools. Any Firefighter equipment found defective, substandard, or non-compliant upon inspection at the India New Delhi receiving depot shall be replaced at the Supplier's sole cost within 10 working days. The Buyer reserves the right to conduct random third-party testing of Firefighter PPE at NABL-accredited laboratories in India New Delhi at any time during the warranty period.</w:t>
      </w:r>
    </w:p>
    <w:p>
      <w:pPr>
        <w:pStyle w:val="BodyText"/>
      </w:pPr>
      <w:r>
        <w:t xml:space="preserve">7. GENERAL TERMS &amp; CONDITIONS</w:t>
      </w:r>
    </w:p>
    <w:p>
      <w:pPr>
        <w:numPr>
          <w:ilvl w:val="0"/>
          <w:numId w:val="1002"/>
        </w:numPr>
        <w:pStyle w:val="Compact"/>
      </w:pPr>
      <w:r>
        <w:t xml:space="preserve">This Purchase Order is governed by the laws of India and shall be interpreted in accordance with the Government of India's General Financial Rules (GFR), 2017.</w:t>
      </w:r>
    </w:p>
    <w:p>
      <w:pPr>
        <w:numPr>
          <w:ilvl w:val="0"/>
          <w:numId w:val="1002"/>
        </w:numPr>
        <w:pStyle w:val="Compact"/>
      </w:pPr>
      <w:r>
        <w:t xml:space="preserve">The Supplier shall not subcontract any portion of the Firefighter equipment manufacturing or supply without prior written consent from the Buyer.</w:t>
      </w:r>
    </w:p>
    <w:p>
      <w:pPr>
        <w:numPr>
          <w:ilvl w:val="0"/>
          <w:numId w:val="1002"/>
        </w:numPr>
        <w:pStyle w:val="Compact"/>
      </w:pPr>
      <w:r>
        <w:t xml:space="preserve">Any dispute arising from this Purchase Order shall be resolved through arbitration in India New Delhi in accordance with the Arbitration and Conciliation Act, 1996.</w:t>
      </w:r>
    </w:p>
    <w:p>
      <w:pPr>
        <w:numPr>
          <w:ilvl w:val="0"/>
          <w:numId w:val="1002"/>
        </w:numPr>
        <w:pStyle w:val="Compact"/>
      </w:pPr>
      <w:r>
        <w:t xml:space="preserve">The Supplier shall maintain adequate insurance coverage for all Firefighter goods in transit to India New Delhi.</w:t>
      </w:r>
    </w:p>
    <w:p>
      <w:pPr>
        <w:numPr>
          <w:ilvl w:val="0"/>
          <w:numId w:val="1002"/>
        </w:numPr>
        <w:pStyle w:val="Compact"/>
      </w:pPr>
      <w:r>
        <w:t xml:space="preserve">Force majeure events, including but not limited to natural disasters affecting the India New Delhi region, shall be addressed through mutual written agreement.</w:t>
      </w:r>
    </w:p>
    <w:p>
      <w:pPr>
        <w:numPr>
          <w:ilvl w:val="0"/>
          <w:numId w:val="1002"/>
        </w:numPr>
        <w:pStyle w:val="Compact"/>
      </w:pPr>
      <w:r>
        <w:t xml:space="preserve">This Purchase Order constitutes the entire agreement between the parties regarding the Firefighter equipment procurement and supersedes all prior negotiations, representations, and understandings.</w:t>
      </w:r>
    </w:p>
    <w:p>
      <w:pPr>
        <w:pStyle w:val="FirstParagraph"/>
      </w:pPr>
      <w:r>
        <w:t xml:space="preserve">8. AUTHORIZED SIGNATORIES</w:t>
      </w:r>
    </w:p>
    <w:p>
      <w:pPr>
        <w:pStyle w:val="BodyText"/>
      </w:pPr>
      <w:r>
        <w:rPr>
          <w:bCs/>
          <w:b/>
        </w:rPr>
        <w:t xml:space="preserve">For and on behalf of the Buyer:</w:t>
      </w:r>
      <w:r>
        <w:br/>
      </w:r>
      <w:r>
        <w:t xml:space="preserve">Fire Services Department, Government of India</w:t>
      </w:r>
      <w:r>
        <w:br/>
      </w:r>
      <w:r>
        <w:t xml:space="preserve">India New Delhi</w:t>
      </w:r>
    </w:p>
    <w:p>
      <w:pPr>
        <w:pStyle w:val="BodyText"/>
      </w:pPr>
      <w:r>
        <w:t xml:space="preserve">Name: Col. (Retd.) Anil Sharma</w:t>
      </w:r>
      <w:r>
        <w:br/>
      </w:r>
      <w:r>
        <w:t xml:space="preserve">Designation: Director, Fire Services, NCT of Delhi</w:t>
      </w:r>
      <w:r>
        <w:br/>
      </w:r>
      <w:r>
        <w:t xml:space="preserve">Date: _______________    Signature: _______________</w:t>
      </w:r>
    </w:p>
    <w:p>
      <w:pPr>
        <w:pStyle w:val="BodyText"/>
      </w:pPr>
      <w:r>
        <w:rPr>
          <w:bCs/>
          <w:b/>
        </w:rPr>
        <w:t xml:space="preserve">For and on behalf of the Supplier:</w:t>
      </w:r>
      <w:r>
        <w:br/>
      </w:r>
      <w:r>
        <w:t xml:space="preserve">Aravali Fire Safety &amp; Industrial Equipment Pvt. Ltd.</w:t>
      </w:r>
      <w:r>
        <w:br/>
      </w:r>
      <w:r>
        <w:t xml:space="preserve">New Delhi, India</w:t>
      </w:r>
    </w:p>
    <w:p>
      <w:pPr>
        <w:pStyle w:val="BodyText"/>
      </w:pPr>
      <w:r>
        <w:t xml:space="preserve">Name: Mr. Rajesh Kumar</w:t>
      </w:r>
      <w:r>
        <w:br/>
      </w:r>
      <w:r>
        <w:t xml:space="preserve">Designation: Managing Director</w:t>
      </w:r>
      <w:r>
        <w:br/>
      </w:r>
      <w:r>
        <w:t xml:space="preserve">Date: _______________    Signature: _______________</w:t>
      </w:r>
    </w:p>
    <w:p>
      <w:pPr>
        <w:pStyle w:val="BodyText"/>
      </w:pPr>
      <w:r>
        <w:t xml:space="preserve">This Purchase Order (PO/FSD/ND/2025/04782) is an official document of the Fire Services Department, Government of India, for Firefighter equipment procurement in India New Delhi. Unauthorized reproduction or distribution is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India New Delhi</dc:title>
  <dc:creator/>
  <dc:language>en</dc:language>
  <cp:keywords/>
  <dcterms:created xsi:type="dcterms:W3CDTF">2026-10-10T05:12:08Z</dcterms:created>
  <dcterms:modified xsi:type="dcterms:W3CDTF">2026-10-10T05:12:08Z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