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Naples,</w:t>
      </w:r>
      <w:r>
        <w:t xml:space="preserve"> </w:t>
      </w:r>
      <w:r>
        <w:t xml:space="preserve">Italy</w:t>
      </w:r>
    </w:p>
    <w:bookmarkStart w:id="20" w:name="purchase-order"/>
    <w:p>
      <w:pPr>
        <w:pStyle w:val="Heading1"/>
      </w:pPr>
      <w:r>
        <w:t xml:space="preserve">PURCHASE ORDER</w:t>
      </w:r>
    </w:p>
    <w:p>
      <w:pPr>
        <w:pStyle w:val="FirstParagraph"/>
      </w:pPr>
      <w:r>
        <w:t xml:space="preserve">Firefighter Equipment &amp; Protective Gear Procurement</w:t>
      </w:r>
    </w:p>
    <w:p>
      <w:pPr>
        <w:pStyle w:val="BodyText"/>
      </w:pPr>
      <w:r>
        <w:t xml:space="preserve">Naples, Italy</w:t>
      </w:r>
      <w:r>
        <w:t xml:space="preserve"> </w:t>
      </w:r>
      <w:r>
        <w:t xml:space="preserve"> </w:t>
      </w:r>
      <w:r>
        <w:t xml:space="preserve"> </w:t>
      </w:r>
      <w:r>
        <w:t xml:space="preserve">Vigili del Fuoco – Comando Provinciale di Napoli</w:t>
      </w:r>
    </w:p>
    <w:bookmarkEnd w:id="20"/>
    <w:p>
      <w:pPr>
        <w:pStyle w:val="BodyText"/>
      </w:pPr>
      <w:r>
        <w:rPr>
          <w:bCs/>
          <w:b/>
        </w:rPr>
        <w:t xml:space="preserve">Purchase Order No.:</w:t>
      </w:r>
      <w:r>
        <w:t xml:space="preserve"> </w:t>
      </w:r>
      <w:r>
        <w:t xml:space="preserve">PO-NAP-2025-04782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Issuing Authority:</w:t>
      </w:r>
      <w:r>
        <w:br/>
      </w:r>
      <w:r>
        <w:t xml:space="preserve">Comando Provinciale dei Vigili del Fuoco</w:t>
      </w:r>
      <w:r>
        <w:br/>
      </w:r>
      <w:r>
        <w:t xml:space="preserve">Via dei Tribunali, 152</w:t>
      </w:r>
      <w:r>
        <w:br/>
      </w:r>
      <w:r>
        <w:t xml:space="preserve">80138 Napoli (NA), Italy</w:t>
      </w:r>
    </w:p>
    <w:p>
      <w:pPr>
        <w:pStyle w:val="BodyText"/>
      </w:pPr>
      <w:r>
        <w:rPr>
          <w:bCs/>
          <w:b/>
        </w:rPr>
        <w:t xml:space="preserve">Supplier:</w:t>
      </w:r>
      <w:r>
        <w:br/>
      </w:r>
      <w:r>
        <w:t xml:space="preserve">FireTech Italia S.r.l.</w:t>
      </w:r>
      <w:r>
        <w:br/>
      </w:r>
      <w:r>
        <w:t xml:space="preserve">Via Toledo, 210</w:t>
      </w:r>
      <w:r>
        <w:br/>
      </w:r>
      <w:r>
        <w:t xml:space="preserve">80132 Napoli (NA), Italy</w:t>
      </w:r>
      <w:r>
        <w:br/>
      </w:r>
      <w:r>
        <w:t xml:space="preserve">VAT: IT01234567890</w:t>
      </w:r>
    </w:p>
    <w:bookmarkStart w:id="21" w:name="purpose-and-scope-of-this-purchase-order"/>
    <w:p>
      <w:pPr>
        <w:pStyle w:val="Heading2"/>
      </w:pPr>
      <w:r>
        <w:t xml:space="preserve">1. Purpose and Scope of This Purchase Order</w:t>
      </w:r>
    </w:p>
    <w:p>
      <w:pPr>
        <w:pStyle w:val="FirstParagraph"/>
      </w:pPr>
      <w:r>
        <w:t xml:space="preserve">This Purchase Order is issued by the Provincial Command of the Firefighters (Vigili del Fuoco) of Naples, Italy, to procure a comprehensive set of firefighter protective equipment, structural firefighting gear, and specialized rescue apparatus. The procurement is intended to ensure that all active-duty firefighters stationed across the Naples metropolitan area—including the districts of Centro Storico, Fuorigrotta, Posillipo, and Bagnoli—possess fully compliant, state-of-the-art protective equipment in accordance with Italian Legislative Decree D.Lgs. 81/2008 and European Standard EN 469:2020 for firefighter protective clothing.</w:t>
      </w:r>
    </w:p>
    <w:p>
      <w:pPr>
        <w:pStyle w:val="BodyText"/>
      </w:pPr>
      <w:r>
        <w:t xml:space="preserve">This Purchase Order governs the supply, delivery, installation, and initial warranty coverage of all listed items. All equipment must be certified for use by professional firefighters operating in the urban and coastal environments of Naples, Italy, where structural fires, chemical incidents, and maritime emergencies present unique operational challenges.</w:t>
      </w:r>
    </w:p>
    <w:bookmarkEnd w:id="21"/>
    <w:bookmarkStart w:id="22" w:name="itemized-list-of-firefighter-equipment"/>
    <w:p>
      <w:pPr>
        <w:pStyle w:val="Heading2"/>
      </w:pPr>
      <w:r>
        <w:t xml:space="preserve">2. Itemized List of Firefighter Equipment</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 / Standard</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Full Structural Firefighter Turnout Set (Coat, Trousers, Hood, Gloves, Boots)</w:t>
            </w:r>
          </w:p>
        </w:tc>
        <w:tc>
          <w:tcPr/>
          <w:p>
            <w:pPr>
              <w:pStyle w:val="Compact"/>
              <w:jc w:val="left"/>
            </w:pPr>
            <w:r>
              <w:t xml:space="preserve">EN 469:2020, Level 2; NFPA 1971 compliant</w:t>
            </w:r>
          </w:p>
        </w:tc>
        <w:tc>
          <w:tcPr/>
          <w:p>
            <w:pPr>
              <w:pStyle w:val="Compact"/>
              <w:jc w:val="left"/>
            </w:pPr>
            <w:r>
              <w:t xml:space="preserve">120</w:t>
            </w:r>
          </w:p>
        </w:tc>
        <w:tc>
          <w:tcPr/>
          <w:p>
            <w:pPr>
              <w:pStyle w:val="Compact"/>
              <w:jc w:val="left"/>
            </w:pPr>
            <w:r>
              <w:t xml:space="preserve">1,850.00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Self-Contained Breathing Apparatus (SCBA) – 3000 bar, 6.8L composite cylinder</w:t>
            </w:r>
          </w:p>
        </w:tc>
        <w:tc>
          <w:tcPr/>
          <w:p>
            <w:pPr>
              <w:pStyle w:val="Compact"/>
              <w:jc w:val="left"/>
            </w:pPr>
            <w:r>
              <w:t xml:space="preserve">EN 137:2006; EN 1927:2016</w:t>
            </w:r>
          </w:p>
        </w:tc>
        <w:tc>
          <w:tcPr/>
          <w:p>
            <w:pPr>
              <w:pStyle w:val="Compact"/>
              <w:jc w:val="left"/>
            </w:pPr>
            <w:r>
              <w:t xml:space="preserve">85</w:t>
            </w:r>
          </w:p>
        </w:tc>
        <w:tc>
          <w:tcPr/>
          <w:p>
            <w:pPr>
              <w:pStyle w:val="Compact"/>
              <w:jc w:val="left"/>
            </w:pPr>
            <w:r>
              <w:t xml:space="preserve">2,400.00</w:t>
            </w:r>
          </w:p>
        </w:tc>
        <w:tc>
          <w:tcPr/>
          <w:p>
            <w:pPr>
              <w:pStyle w:val="Compact"/>
              <w:jc w:val="left"/>
            </w:pPr>
            <w:r>
              <w:t xml:space="preserve">204,000.00</w:t>
            </w:r>
          </w:p>
        </w:tc>
      </w:tr>
      <w:tr>
        <w:tc>
          <w:tcPr/>
          <w:p>
            <w:pPr>
              <w:pStyle w:val="Compact"/>
              <w:jc w:val="left"/>
            </w:pPr>
            <w:r>
              <w:t xml:space="preserve">03</w:t>
            </w:r>
          </w:p>
        </w:tc>
        <w:tc>
          <w:tcPr/>
          <w:p>
            <w:pPr>
              <w:pStyle w:val="Compact"/>
              <w:jc w:val="left"/>
            </w:pPr>
            <w:r>
              <w:t xml:space="preserve">Firefighter Helmet with Visor and Neck Protector</w:t>
            </w:r>
          </w:p>
        </w:tc>
        <w:tc>
          <w:tcPr/>
          <w:p>
            <w:pPr>
              <w:pStyle w:val="Compact"/>
              <w:jc w:val="left"/>
            </w:pPr>
            <w:r>
              <w:t xml:space="preserve">EN 443:2009; EN 12492:2012</w:t>
            </w:r>
          </w:p>
        </w:tc>
        <w:tc>
          <w:tcPr/>
          <w:p>
            <w:pPr>
              <w:pStyle w:val="Compact"/>
              <w:jc w:val="left"/>
            </w:pPr>
            <w:r>
              <w:t xml:space="preserve">120</w:t>
            </w:r>
          </w:p>
        </w:tc>
        <w:tc>
          <w:tcPr/>
          <w:p>
            <w:pPr>
              <w:pStyle w:val="Compact"/>
              <w:jc w:val="left"/>
            </w:pPr>
            <w:r>
              <w:t xml:space="preserve">320.00</w:t>
            </w:r>
          </w:p>
        </w:tc>
        <w:tc>
          <w:tcPr/>
          <w:p>
            <w:pPr>
              <w:pStyle w:val="Compact"/>
              <w:jc w:val="left"/>
            </w:pPr>
            <w:r>
              <w:t xml:space="preserve">38,400.00</w:t>
            </w:r>
          </w:p>
        </w:tc>
      </w:tr>
      <w:tr>
        <w:tc>
          <w:tcPr/>
          <w:p>
            <w:pPr>
              <w:pStyle w:val="Compact"/>
              <w:jc w:val="left"/>
            </w:pPr>
            <w:r>
              <w:t xml:space="preserve">04</w:t>
            </w:r>
          </w:p>
        </w:tc>
        <w:tc>
          <w:tcPr/>
          <w:p>
            <w:pPr>
              <w:pStyle w:val="Compact"/>
              <w:jc w:val="left"/>
            </w:pPr>
            <w:r>
              <w:t xml:space="preserve">Thermal Imaging Camera (TIC) – Handheld, 640x480 resolution</w:t>
            </w:r>
          </w:p>
        </w:tc>
        <w:tc>
          <w:tcPr/>
          <w:p>
            <w:pPr>
              <w:pStyle w:val="Compact"/>
              <w:jc w:val="left"/>
            </w:pPr>
            <w:r>
              <w:t xml:space="preserve">EN 60950-1; IP67 rated</w:t>
            </w:r>
          </w:p>
        </w:tc>
        <w:tc>
          <w:tcPr/>
          <w:p>
            <w:pPr>
              <w:pStyle w:val="Compact"/>
              <w:jc w:val="left"/>
            </w:pPr>
            <w:r>
              <w:t xml:space="preserve">24</w:t>
            </w:r>
          </w:p>
        </w:tc>
        <w:tc>
          <w:tcPr/>
          <w:p>
            <w:pPr>
              <w:pStyle w:val="Compact"/>
              <w:jc w:val="left"/>
            </w:pPr>
            <w:r>
              <w:t xml:space="preserve">3,200.00</w:t>
            </w:r>
          </w:p>
        </w:tc>
        <w:tc>
          <w:tcPr/>
          <w:p>
            <w:pPr>
              <w:pStyle w:val="Compact"/>
              <w:jc w:val="left"/>
            </w:pPr>
            <w:r>
              <w:t xml:space="preserve">76,800.00</w:t>
            </w:r>
          </w:p>
        </w:tc>
      </w:tr>
      <w:tr>
        <w:tc>
          <w:tcPr/>
          <w:p>
            <w:pPr>
              <w:pStyle w:val="Compact"/>
              <w:jc w:val="left"/>
            </w:pPr>
            <w:r>
              <w:t xml:space="preserve">05</w:t>
            </w:r>
          </w:p>
        </w:tc>
        <w:tc>
          <w:tcPr/>
          <w:p>
            <w:pPr>
              <w:pStyle w:val="Compact"/>
              <w:jc w:val="left"/>
            </w:pPr>
            <w:r>
              <w:t xml:space="preserve">Firefighter Escape Rope – 40m, 12mm, Kevlar-core</w:t>
            </w:r>
          </w:p>
        </w:tc>
        <w:tc>
          <w:tcPr/>
          <w:p>
            <w:pPr>
              <w:pStyle w:val="Compact"/>
              <w:jc w:val="left"/>
            </w:pPr>
            <w:r>
              <w:t xml:space="preserve">EN 1891:2009; EN 341:2011</w:t>
            </w:r>
          </w:p>
        </w:tc>
        <w:tc>
          <w:tcPr/>
          <w:p>
            <w:pPr>
              <w:pStyle w:val="Compact"/>
              <w:jc w:val="left"/>
            </w:pPr>
            <w:r>
              <w:t xml:space="preserve">60</w:t>
            </w:r>
          </w:p>
        </w:tc>
        <w:tc>
          <w:tcPr/>
          <w:p>
            <w:pPr>
              <w:pStyle w:val="Compact"/>
              <w:jc w:val="left"/>
            </w:pPr>
            <w:r>
              <w:t xml:space="preserve">185.00</w:t>
            </w:r>
          </w:p>
        </w:tc>
        <w:tc>
          <w:tcPr/>
          <w:p>
            <w:pPr>
              <w:pStyle w:val="Compact"/>
              <w:jc w:val="left"/>
            </w:pPr>
            <w:r>
              <w:t xml:space="preserve">11,100.00</w:t>
            </w:r>
          </w:p>
        </w:tc>
      </w:tr>
      <w:tr>
        <w:tc>
          <w:tcPr/>
          <w:p>
            <w:pPr>
              <w:pStyle w:val="Compact"/>
              <w:jc w:val="left"/>
            </w:pPr>
            <w:r>
              <w:t xml:space="preserve">06</w:t>
            </w:r>
          </w:p>
        </w:tc>
        <w:tc>
          <w:tcPr/>
          <w:p>
            <w:pPr>
              <w:pStyle w:val="Compact"/>
              <w:jc w:val="left"/>
            </w:pPr>
            <w:r>
              <w:t xml:space="preserve">Personal Protective Equipment (PPE) for Chemical Hazards – Level B Suit</w:t>
            </w:r>
          </w:p>
        </w:tc>
        <w:tc>
          <w:tcPr/>
          <w:p>
            <w:pPr>
              <w:pStyle w:val="Compact"/>
              <w:jc w:val="left"/>
            </w:pPr>
            <w:r>
              <w:t xml:space="preserve">EN 943-1:2012; EN 14126:2004</w:t>
            </w:r>
          </w:p>
        </w:tc>
        <w:tc>
          <w:tcPr/>
          <w:p>
            <w:pPr>
              <w:pStyle w:val="Compact"/>
              <w:jc w:val="left"/>
            </w:pPr>
            <w:r>
              <w:t xml:space="preserve">30</w:t>
            </w:r>
          </w:p>
        </w:tc>
        <w:tc>
          <w:tcPr/>
          <w:p>
            <w:pPr>
              <w:pStyle w:val="Compact"/>
              <w:jc w:val="left"/>
            </w:pPr>
            <w:r>
              <w:t xml:space="preserve">4,500.00</w:t>
            </w:r>
          </w:p>
        </w:tc>
        <w:tc>
          <w:tcPr/>
          <w:p>
            <w:pPr>
              <w:pStyle w:val="Compact"/>
              <w:jc w:val="left"/>
            </w:pPr>
            <w:r>
              <w:t xml:space="preserve">135,000.00</w:t>
            </w:r>
          </w:p>
        </w:tc>
      </w:tr>
      <w:tr>
        <w:tc>
          <w:tcPr/>
          <w:p>
            <w:pPr>
              <w:pStyle w:val="Compact"/>
              <w:jc w:val="left"/>
            </w:pPr>
            <w:r>
              <w:t xml:space="preserve">07</w:t>
            </w:r>
          </w:p>
        </w:tc>
        <w:tc>
          <w:tcPr/>
          <w:p>
            <w:pPr>
              <w:pStyle w:val="Compact"/>
              <w:jc w:val="left"/>
            </w:pPr>
            <w:r>
              <w:t xml:space="preserve">Firefighter Radio – Digital, 433 MHz, IP68, 12-hour battery</w:t>
            </w:r>
          </w:p>
        </w:tc>
        <w:tc>
          <w:tcPr/>
          <w:p>
            <w:pPr>
              <w:pStyle w:val="Compact"/>
              <w:jc w:val="left"/>
            </w:pPr>
            <w:r>
              <w:t xml:space="preserve">EN 300 221; EN 60945 (maritime use, Naples port)</w:t>
            </w:r>
          </w:p>
        </w:tc>
        <w:tc>
          <w:tcPr/>
          <w:p>
            <w:pPr>
              <w:pStyle w:val="Compact"/>
              <w:jc w:val="left"/>
            </w:pPr>
            <w:r>
              <w:t xml:space="preserve">150</w:t>
            </w:r>
          </w:p>
        </w:tc>
        <w:tc>
          <w:tcPr/>
          <w:p>
            <w:pPr>
              <w:pStyle w:val="Compact"/>
              <w:jc w:val="left"/>
            </w:pPr>
            <w:r>
              <w:t xml:space="preserve">680.00</w:t>
            </w:r>
          </w:p>
        </w:tc>
        <w:tc>
          <w:tcPr/>
          <w:p>
            <w:pPr>
              <w:pStyle w:val="Compact"/>
              <w:jc w:val="left"/>
            </w:pPr>
            <w:r>
              <w:t xml:space="preserve">102,000.00</w:t>
            </w:r>
          </w:p>
        </w:tc>
      </w:tr>
      <w:tr>
        <w:tc>
          <w:tcPr/>
          <w:p>
            <w:pPr>
              <w:pStyle w:val="Compact"/>
              <w:jc w:val="left"/>
            </w:pPr>
            <w:r>
              <w:t xml:space="preserve">08</w:t>
            </w:r>
          </w:p>
        </w:tc>
        <w:tc>
          <w:tcPr/>
          <w:p>
            <w:pPr>
              <w:pStyle w:val="Compact"/>
              <w:jc w:val="left"/>
            </w:pPr>
            <w:r>
              <w:t xml:space="preserve">Rescue Stretcher – Lightweight, foldable, with spinal board</w:t>
            </w:r>
          </w:p>
        </w:tc>
        <w:tc>
          <w:tcPr/>
          <w:p>
            <w:pPr>
              <w:pStyle w:val="Compact"/>
              <w:jc w:val="left"/>
            </w:pPr>
            <w:r>
              <w:t xml:space="preserve">EN 1866:2019</w:t>
            </w:r>
          </w:p>
        </w:tc>
        <w:tc>
          <w:tcPr/>
          <w:p>
            <w:pPr>
              <w:pStyle w:val="Compact"/>
              <w:jc w:val="left"/>
            </w:pPr>
            <w:r>
              <w:t xml:space="preserve">40</w:t>
            </w:r>
          </w:p>
        </w:tc>
        <w:tc>
          <w:tcPr/>
          <w:p>
            <w:pPr>
              <w:pStyle w:val="Compact"/>
              <w:jc w:val="left"/>
            </w:pPr>
            <w:r>
              <w:t xml:space="preserve">950.00</w:t>
            </w:r>
          </w:p>
        </w:tc>
        <w:tc>
          <w:tcPr/>
          <w:p>
            <w:pPr>
              <w:pStyle w:val="Compact"/>
              <w:jc w:val="left"/>
            </w:pPr>
            <w:r>
              <w:t xml:space="preserve">38,000.00</w:t>
            </w:r>
          </w:p>
        </w:tc>
      </w:tr>
      <w:tr>
        <w:tc>
          <w:tcPr/>
          <w:p>
            <w:pPr>
              <w:pStyle w:val="Compact"/>
              <w:jc w:val="left"/>
            </w:pPr>
            <w:r>
              <w:t xml:space="preserve">09</w:t>
            </w:r>
          </w:p>
        </w:tc>
        <w:tc>
          <w:tcPr/>
          <w:p>
            <w:pPr>
              <w:pStyle w:val="Compact"/>
              <w:jc w:val="left"/>
            </w:pPr>
            <w:r>
              <w:t xml:space="preserve">Firefighter Training Dummy – Full-size, heat-resistant, for burn simulation</w:t>
            </w:r>
          </w:p>
        </w:tc>
        <w:tc>
          <w:tcPr/>
          <w:p>
            <w:pPr>
              <w:pStyle w:val="Compact"/>
              <w:jc w:val="left"/>
            </w:pPr>
            <w:r>
              <w:t xml:space="preserve">Custom spec; EN 469 compatible</w:t>
            </w:r>
          </w:p>
        </w:tc>
        <w:tc>
          <w:tcPr/>
          <w:p>
            <w:pPr>
              <w:pStyle w:val="Compact"/>
              <w:jc w:val="left"/>
            </w:pPr>
            <w:r>
              <w:t xml:space="preserve">6</w:t>
            </w:r>
          </w:p>
        </w:tc>
        <w:tc>
          <w:tcPr/>
          <w:p>
            <w:pPr>
              <w:pStyle w:val="Compact"/>
              <w:jc w:val="left"/>
            </w:pPr>
            <w:r>
              <w:t xml:space="preserve">7,800.00</w:t>
            </w:r>
          </w:p>
        </w:tc>
        <w:tc>
          <w:tcPr/>
          <w:p>
            <w:pPr>
              <w:pStyle w:val="Compact"/>
              <w:jc w:val="left"/>
            </w:pPr>
            <w:r>
              <w:t xml:space="preserve">46,800.00</w:t>
            </w:r>
          </w:p>
        </w:tc>
      </w:tr>
      <w:tr>
        <w:tc>
          <w:tcPr/>
          <w:p>
            <w:pPr>
              <w:pStyle w:val="Compact"/>
              <w:jc w:val="left"/>
            </w:pPr>
            <w:r>
              <w:t xml:space="preserve">10</w:t>
            </w:r>
          </w:p>
        </w:tc>
        <w:tc>
          <w:tcPr/>
          <w:p>
            <w:pPr>
              <w:pStyle w:val="Compact"/>
              <w:jc w:val="left"/>
            </w:pPr>
            <w:r>
              <w:t xml:space="preserve">Emergency Lighting Kit – 4x LED floodlights, 20,000 lumens each, battery-powered</w:t>
            </w:r>
          </w:p>
        </w:tc>
        <w:tc>
          <w:tcPr/>
          <w:p>
            <w:pPr>
              <w:pStyle w:val="Compact"/>
              <w:jc w:val="left"/>
            </w:pPr>
            <w:r>
              <w:t xml:space="preserve">EN 60598-1; IP65</w:t>
            </w:r>
          </w:p>
        </w:tc>
        <w:tc>
          <w:tcPr/>
          <w:p>
            <w:pPr>
              <w:pStyle w:val="Compact"/>
              <w:jc w:val="left"/>
            </w:pPr>
            <w:r>
              <w:t xml:space="preserve">20</w:t>
            </w:r>
          </w:p>
        </w:tc>
        <w:tc>
          <w:tcPr/>
          <w:p>
            <w:pPr>
              <w:pStyle w:val="Compact"/>
              <w:jc w:val="left"/>
            </w:pPr>
            <w:r>
              <w:t xml:space="preserve">1,200.00</w:t>
            </w:r>
          </w:p>
        </w:tc>
        <w:tc>
          <w:tcPr/>
          <w:p>
            <w:pPr>
              <w:pStyle w:val="Compact"/>
              <w:jc w:val="left"/>
            </w:pPr>
            <w:r>
              <w:t xml:space="preserve">24,000.00</w:t>
            </w:r>
          </w:p>
        </w:tc>
      </w:tr>
      <w:tr>
        <w:tc>
          <w:tcPr>
            <w:gridSpan w:val="5"/>
          </w:tcPr>
          <w:p>
            <w:pPr>
              <w:pStyle w:val="Compact"/>
              <w:jc w:val="right"/>
            </w:pPr>
            <w:r>
              <w:t xml:space="preserve">SUBTOTAL</w:t>
            </w:r>
          </w:p>
        </w:tc>
        <w:tc>
          <w:tcPr/>
          <w:p>
            <w:pPr>
              <w:pStyle w:val="Compact"/>
              <w:jc w:val="left"/>
            </w:pPr>
            <w:r>
              <w:t xml:space="preserve">999,100.00</w:t>
            </w:r>
          </w:p>
        </w:tc>
      </w:tr>
      <w:tr>
        <w:tc>
          <w:tcPr>
            <w:gridSpan w:val="5"/>
          </w:tcPr>
          <w:p>
            <w:pPr>
              <w:pStyle w:val="Compact"/>
              <w:jc w:val="right"/>
            </w:pPr>
            <w:r>
              <w:t xml:space="preserve">VAT (22% – Italy)</w:t>
            </w:r>
          </w:p>
        </w:tc>
        <w:tc>
          <w:tcPr/>
          <w:p>
            <w:pPr>
              <w:pStyle w:val="Compact"/>
              <w:jc w:val="left"/>
            </w:pPr>
            <w:r>
              <w:t xml:space="preserve">219,802.00</w:t>
            </w:r>
          </w:p>
        </w:tc>
      </w:tr>
      <w:tr>
        <w:tc>
          <w:tcPr>
            <w:gridSpan w:val="5"/>
          </w:tcPr>
          <w:p>
            <w:pPr>
              <w:pStyle w:val="Compact"/>
              <w:jc w:val="right"/>
            </w:pPr>
            <w:r>
              <w:t xml:space="preserve">GRAND TOTAL</w:t>
            </w:r>
          </w:p>
        </w:tc>
        <w:tc>
          <w:tcPr/>
          <w:p>
            <w:pPr>
              <w:pStyle w:val="Compact"/>
              <w:jc w:val="left"/>
            </w:pPr>
            <w:r>
              <w:t xml:space="preserve">1,218,902.00</w:t>
            </w:r>
          </w:p>
        </w:tc>
      </w:tr>
    </w:tbl>
    <w:bookmarkEnd w:id="22"/>
    <w:bookmarkStart w:id="23" w:name="delivery-and-installation-requirements"/>
    <w:p>
      <w:pPr>
        <w:pStyle w:val="Heading2"/>
      </w:pPr>
      <w:r>
        <w:t xml:space="preserve">3. Delivery and Installation Requirements</w:t>
      </w:r>
    </w:p>
    <w:p>
      <w:pPr>
        <w:pStyle w:val="FirstParagraph"/>
      </w:pPr>
      <w:r>
        <w:t xml:space="preserve">All items listed in this Purchase Order shall be delivered to the following location within the city of Naples, Italy:</w:t>
      </w:r>
    </w:p>
    <w:p>
      <w:pPr>
        <w:pStyle w:val="BodyText"/>
      </w:pPr>
      <w:r>
        <w:rPr>
          <w:bCs/>
          <w:b/>
        </w:rPr>
        <w:t xml:space="preserve">Delivery Address:</w:t>
      </w:r>
      <w:r>
        <w:t xml:space="preserve"> </w:t>
      </w:r>
      <w:r>
        <w:t xml:space="preserve">Caserma dei Vigili del Fuoco, Via dei Tribunali, 152, 80138 Napoli (NA), Italy. The delivery must be coordinated with the Logistics Officer of the Naples Provincial Firefighter Command. Delivery windows are Monday through Friday, 08:00–16:00 CET. The supplier is responsible for all transportation costs, insurance, and handling within the city of Naples, including compliance with the Limited Traffic Zone (ZTL) regulations in force in the historic centre of Naples.</w:t>
      </w:r>
    </w:p>
    <w:p>
      <w:pPr>
        <w:pStyle w:val="BodyText"/>
      </w:pPr>
      <w:r>
        <w:t xml:space="preserve">Installation, calibration, and initial functional testing of all electronic and mechanical equipment (including SCBA units, thermal imaging cameras, and radio systems) shall be performed on-site by qualified technicians from FireTech Italia S.r.l. A full commissioning report, signed by both parties, must be submitted within five (5) business days of installation completion.</w:t>
      </w:r>
    </w:p>
    <w:bookmarkEnd w:id="23"/>
    <w:bookmarkStart w:id="24" w:name="payment-terms"/>
    <w:p>
      <w:pPr>
        <w:pStyle w:val="Heading2"/>
      </w:pPr>
      <w:r>
        <w:t xml:space="preserve">4. Payment Terms</w:t>
      </w:r>
    </w:p>
    <w:p>
      <w:pPr>
        <w:pStyle w:val="FirstParagraph"/>
      </w:pPr>
      <w:r>
        <w:t xml:space="preserve">Payment shall be made via bank transfer to the supplier's designated account in accordance with the following schedule:</w:t>
      </w:r>
    </w:p>
    <w:p>
      <w:pPr>
        <w:pStyle w:val="BodyText"/>
      </w:pPr>
      <w:r>
        <w:rPr>
          <w:bCs/>
          <w:b/>
        </w:rPr>
        <w:t xml:space="preserve">30%</w:t>
      </w:r>
      <w:r>
        <w:t xml:space="preserve"> </w:t>
      </w:r>
      <w:r>
        <w:t xml:space="preserve">advance payment upon acceptance of this Purchase Order (within 10 business days of the issue date).</w:t>
      </w:r>
      <w:r>
        <w:br/>
      </w:r>
      <w:r>
        <w:rPr>
          <w:bCs/>
          <w:b/>
        </w:rPr>
        <w:t xml:space="preserve">50%</w:t>
      </w:r>
      <w:r>
        <w:t xml:space="preserve"> </w:t>
      </w:r>
      <w:r>
        <w:t xml:space="preserve">upon confirmed delivery and successful on-site inspection of all firefighter equipment at the Naples command facility.</w:t>
      </w:r>
      <w:r>
        <w:br/>
      </w:r>
      <w:r>
        <w:rPr>
          <w:bCs/>
          <w:b/>
        </w:rPr>
        <w:t xml:space="preserve">20%</w:t>
      </w:r>
      <w:r>
        <w:t xml:space="preserve"> </w:t>
      </w:r>
      <w:r>
        <w:t xml:space="preserve">upon completion of installation, calibration, and submission of the final commissioning report.</w:t>
      </w:r>
    </w:p>
    <w:p>
      <w:pPr>
        <w:pStyle w:val="BodyText"/>
      </w:pPr>
      <w:r>
        <w:t xml:space="preserve">All payments are subject to the standard 30-day payment terms from the date of invoice receipt. Late payments shall accrue interest at the rate prescribed by Italian Legislative Decree D.Lgs. 231/2002. The supplier must issue a valid Italian VAT invoice (fattura elettronica) through the SdI (Sistema di Interscambio) electronic invoicing system.</w:t>
      </w:r>
    </w:p>
    <w:bookmarkEnd w:id="24"/>
    <w:bookmarkStart w:id="25" w:name="quality-assurance-and-compliance"/>
    <w:p>
      <w:pPr>
        <w:pStyle w:val="Heading2"/>
      </w:pPr>
      <w:r>
        <w:t xml:space="preserve">5. Quality Assurance and Compliance</w:t>
      </w:r>
    </w:p>
    <w:p>
      <w:pPr>
        <w:pStyle w:val="FirstParagraph"/>
      </w:pPr>
      <w:r>
        <w:t xml:space="preserve">All firefighter equipment supplied under this Purchase Order must carry valid CE marking and comply with the applicable European harmonised standards referenced in Section 2. The supplier shall provide, at the time of delivery, complete technical data sheets, material safety data sheets (MSDS/SDS), certificates of conformity, and test reports for every item. Equipment intended for use by firefighters in the Naples coastal and port areas must additionally demonstrate resistance to saltwater corrosion and high-humidity conditions typical of the Bay of Naples climate.</w:t>
      </w:r>
    </w:p>
    <w:p>
      <w:pPr>
        <w:pStyle w:val="BodyText"/>
      </w:pPr>
      <w:r>
        <w:t xml:space="preserve">A minimum warranty period of three (3) years from the date of commissioning is required for all structural and electronic components. The warranty must cover parts, labour, and on-site service calls within the Naples metropolitan area. The supplier shall maintain a dedicated after-sales service desk reachable by telephone and email, with a maximum response time of four (4) hours for critical firefighter safety equipment failures.</w:t>
      </w:r>
    </w:p>
    <w:bookmarkEnd w:id="25"/>
    <w:bookmarkStart w:id="26" w:name="general-terms-and-conditions"/>
    <w:p>
      <w:pPr>
        <w:pStyle w:val="Heading2"/>
      </w:pPr>
      <w:r>
        <w:t xml:space="preserve">6. General Terms and Conditions</w:t>
      </w:r>
    </w:p>
    <w:p>
      <w:pPr>
        <w:pStyle w:val="FirstParagraph"/>
      </w:pPr>
      <w:r>
        <w:t xml:space="preserve">6.1. This Purchase Order is governed by the laws of the Italian Republic. Any disputes arising from the interpretation or execution of this document shall be subject to the exclusive jurisdiction of the competent courts of Naples, Italy.</w:t>
      </w:r>
    </w:p>
    <w:p>
      <w:pPr>
        <w:pStyle w:val="BodyText"/>
      </w:pPr>
      <w:r>
        <w:t xml:space="preserve">6.2. The supplier warrants that all firefighter equipment is new, unused, and free from defects in materials and workmanship. No refurbished or second-hand items shall be accepted.</w:t>
      </w:r>
    </w:p>
    <w:p>
      <w:pPr>
        <w:pStyle w:val="BodyText"/>
      </w:pPr>
      <w:r>
        <w:t xml:space="preserve">6.3. The supplier shall comply with all applicable Italian occupational health and safety regulations (D.Lgs. 81/2008) and environmental regulations during the delivery and installation process in Naples.</w:t>
      </w:r>
    </w:p>
    <w:p>
      <w:pPr>
        <w:pStyle w:val="BodyText"/>
      </w:pPr>
      <w:r>
        <w:t xml:space="preserve">6.4. The issuing authority reserves the right to reject any item that does not conform to the specifications stated in this Purchase Order. Rejected items must be replaced at the supplier's sole expense within fifteen (15) business days.</w:t>
      </w:r>
    </w:p>
    <w:p>
      <w:pPr>
        <w:pStyle w:val="BodyText"/>
      </w:pPr>
      <w:r>
        <w:t xml:space="preserve">6.5. Force majeure events, including but not limited to volcanic activity from Mount Vesuvius, seismic events, or government-issued emergency orders affecting the city of Naples, shall suspend the obligations of both parties for the duration of the event, provided written notice is given within 48 hours.</w:t>
      </w:r>
    </w:p>
    <w:p>
      <w:pPr>
        <w:pStyle w:val="BodyText"/>
      </w:pPr>
      <w:r>
        <w:t xml:space="preserve">6.6. This Purchase Order constitutes the entire agreement between the parties with respect to the subject matter herein and supersedes all prior negotiations, representations, or agreements.</w:t>
      </w:r>
    </w:p>
    <w:bookmarkEnd w:id="26"/>
    <w:bookmarkStart w:id="27" w:name="authorisation-and-signatures"/>
    <w:p>
      <w:pPr>
        <w:pStyle w:val="Heading2"/>
      </w:pPr>
      <w:r>
        <w:t xml:space="preserve">7. Authorisation and Signatures</w:t>
      </w:r>
    </w:p>
    <w:p>
      <w:pPr>
        <w:pStyle w:val="FirstParagraph"/>
      </w:pPr>
      <w:r>
        <w:t xml:space="preserve">This Purchase Order is authorised and executed by the undersigned representatives of both parties. By signing below, each party acknowledges and agrees to all terms, conditions, and specifications set forth in this document for the procurement of firefighter equipment in Naples, Italy.</w:t>
      </w:r>
    </w:p>
    <w:p>
      <w:pPr>
        <w:pStyle w:val="BodyText"/>
      </w:pPr>
      <w:r>
        <w:rPr>
          <w:bCs/>
          <w:b/>
        </w:rPr>
        <w:t xml:space="preserve">For the Issuing Authority:</w:t>
      </w:r>
      <w:r>
        <w:br/>
      </w:r>
      <w:r>
        <w:t xml:space="preserve">Comando Provinciale dei Vigili del Fuoco</w:t>
      </w:r>
      <w:r>
        <w:br/>
      </w:r>
      <w:r>
        <w:t xml:space="preserve">Napoli, Italy</w:t>
      </w:r>
    </w:p>
    <w:p>
      <w:pPr>
        <w:pStyle w:val="BodyText"/>
      </w:pPr>
      <w:r>
        <w:rPr>
          <w:bCs/>
          <w:b/>
        </w:rPr>
        <w:t xml:space="preserve">Col. Marco Esposito</w:t>
      </w:r>
      <w:r>
        <w:br/>
      </w:r>
      <w:r>
        <w:t xml:space="preserve">Comandante Provinciale</w:t>
      </w:r>
      <w:r>
        <w:br/>
      </w:r>
      <w:r>
        <w:t xml:space="preserve">Date: _______________</w:t>
      </w:r>
    </w:p>
    <w:p>
      <w:pPr>
        <w:pStyle w:val="BodyText"/>
      </w:pPr>
      <w:r>
        <w:rPr>
          <w:bCs/>
          <w:b/>
        </w:rPr>
        <w:t xml:space="preserve">For the Supplier:</w:t>
      </w:r>
      <w:r>
        <w:br/>
      </w:r>
      <w:r>
        <w:t xml:space="preserve">FireTech Italia S.r.l.</w:t>
      </w:r>
      <w:r>
        <w:br/>
      </w:r>
      <w:r>
        <w:t xml:space="preserve">Napoli, Italy</w:t>
      </w:r>
    </w:p>
    <w:p>
      <w:pPr>
        <w:pStyle w:val="BodyText"/>
      </w:pPr>
      <w:r>
        <w:rPr>
          <w:bCs/>
          <w:b/>
        </w:rPr>
        <w:t xml:space="preserve">Ing. Laura De Santis</w:t>
      </w:r>
      <w:r>
        <w:br/>
      </w:r>
      <w:r>
        <w:t xml:space="preserve">Amministratore Delegato</w:t>
      </w:r>
      <w:r>
        <w:br/>
      </w:r>
      <w:r>
        <w:t xml:space="preserve">Date: _______________</w:t>
      </w:r>
    </w:p>
    <w:bookmarkEnd w:id="27"/>
    <w:p>
      <w:pPr>
        <w:pStyle w:val="BodyText"/>
      </w:pPr>
      <w:r>
        <w:t xml:space="preserve">Purchase Order PO-NAP-2025-04782 | Firefighter Equipment Procurement | Naples, Italy | Issued: 14 June 2025</w:t>
      </w:r>
    </w:p>
    <w:p>
      <w:pPr>
        <w:pStyle w:val="BodyText"/>
      </w:pPr>
      <w:r>
        <w:t xml:space="preserve">This document is the property of the Comando Provinciale dei Vigili del Fuoco di Napoli. Unauthorised reproduction or distribution is prohibited under Italian Law.</w:t>
      </w:r>
    </w:p>
    <w:p>
      <w:pPr>
        <w:pStyle w:val="BodyText"/>
      </w:pPr>
      <w:r>
        <w:t xml:space="preserve">Document Reference: VVF-NA/PROC/2025/04782 | Classification: Official – Procurement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Naples, Italy</dc:title>
  <dc:creator/>
  <dc:language>en</dc:language>
  <cp:keywords/>
  <dcterms:created xsi:type="dcterms:W3CDTF">2026-10-10T04:04:14Z</dcterms:created>
  <dcterms:modified xsi:type="dcterms:W3CDTF">2026-10-10T04:04:14Z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