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KL-FF-2025-00487</w:t>
      </w:r>
    </w:p>
    <w:p>
      <w:pPr>
        <w:pStyle w:val="BodyText"/>
      </w:pPr>
      <w:r>
        <w:t xml:space="preserve">Date of Issue: 15 June 2025</w:t>
      </w:r>
    </w:p>
    <w:p>
      <w:pPr>
        <w:pStyle w:val="BodyText"/>
      </w:pPr>
      <w:r>
        <w:t xml:space="preserve">Valid Until: 15 August 2025</w:t>
      </w:r>
    </w:p>
    <w:p>
      <w:pPr>
        <w:pStyle w:val="BodyText"/>
      </w:pPr>
      <w:r>
        <w:t xml:space="preserve">Classification: Official – Firefighter Procurement Division</w:t>
      </w:r>
    </w:p>
    <w:bookmarkEnd w:id="20"/>
    <w:bookmarkStart w:id="23" w:name="parties-involved"/>
    <w:p>
      <w:pPr>
        <w:pStyle w:val="Heading2"/>
      </w:pPr>
      <w:r>
        <w:t xml:space="preserve">1. Parties Involved</w:t>
      </w:r>
    </w:p>
    <w:bookmarkStart w:id="21" w:name="buyer-purchasing-authority"/>
    <w:p>
      <w:pPr>
        <w:pStyle w:val="Heading3"/>
      </w:pPr>
      <w:r>
        <w:t xml:space="preserve">Buyer (Purchasing Authority)</w:t>
      </w:r>
    </w:p>
    <w:p>
      <w:pPr>
        <w:pStyle w:val="FirstParagraph"/>
      </w:pPr>
      <w:r>
        <w:rPr>
          <w:bCs/>
          <w:b/>
        </w:rPr>
        <w:t xml:space="preserve">Firefighter Services Directorate</w:t>
      </w:r>
    </w:p>
    <w:p>
      <w:pPr>
        <w:pStyle w:val="BodyText"/>
      </w:pPr>
      <w:r>
        <w:t xml:space="preserve">Department of Fire and Rescue (Bomba)</w:t>
      </w:r>
    </w:p>
    <w:p>
      <w:pPr>
        <w:pStyle w:val="BodyText"/>
      </w:pPr>
      <w:r>
        <w:t xml:space="preserve">Level 12, Menara Bomba, Jalan Tun Razak</w:t>
      </w:r>
    </w:p>
    <w:p>
      <w:pPr>
        <w:pStyle w:val="BodyText"/>
      </w:pPr>
      <w:r>
        <w:t xml:space="preserve">50400 Malaysia Kuala Lumpur</w:t>
      </w:r>
    </w:p>
    <w:p>
      <w:pPr>
        <w:pStyle w:val="BodyText"/>
      </w:pPr>
      <w:r>
        <w:t xml:space="preserve">Tel: +603-2272 1000</w:t>
      </w:r>
    </w:p>
    <w:p>
      <w:pPr>
        <w:pStyle w:val="BodyText"/>
      </w:pPr>
      <w:r>
        <w:t xml:space="preserve">Email: procurement@bomba.gov.my</w:t>
      </w:r>
    </w:p>
    <w:p>
      <w:pPr>
        <w:pStyle w:val="BodyText"/>
      </w:pPr>
      <w:r>
        <w:t xml:space="preserve">Registration No: 200301012345</w:t>
      </w:r>
    </w:p>
    <w:bookmarkEnd w:id="21"/>
    <w:bookmarkStart w:id="22" w:name="supplier-vendor"/>
    <w:p>
      <w:pPr>
        <w:pStyle w:val="Heading3"/>
      </w:pPr>
      <w:r>
        <w:t xml:space="preserve">Supplier (Vendor)</w:t>
      </w:r>
    </w:p>
    <w:p>
      <w:pPr>
        <w:pStyle w:val="FirstParagraph"/>
      </w:pPr>
      <w:r>
        <w:rPr>
          <w:bCs/>
          <w:b/>
        </w:rPr>
        <w:t xml:space="preserve">Selamat Api Equipment Sdn. Bhd.</w:t>
      </w:r>
    </w:p>
    <w:p>
      <w:pPr>
        <w:pStyle w:val="BodyText"/>
      </w:pPr>
      <w:r>
        <w:t xml:space="preserve">Lot 45, Jalan Industri 3, Taman Perindustrian</w:t>
      </w:r>
    </w:p>
    <w:p>
      <w:pPr>
        <w:pStyle w:val="BodyText"/>
      </w:pPr>
      <w:r>
        <w:t xml:space="preserve">43000 Kajang, Selangor, Malaysia</w:t>
      </w:r>
    </w:p>
    <w:p>
      <w:pPr>
        <w:pStyle w:val="BodyText"/>
      </w:pPr>
      <w:r>
        <w:t xml:space="preserve">Tel: +603-8787 5500</w:t>
      </w:r>
    </w:p>
    <w:p>
      <w:pPr>
        <w:pStyle w:val="BodyText"/>
      </w:pPr>
      <w:r>
        <w:t xml:space="preserve">Email: sales@selamatapi.com.my</w:t>
      </w:r>
    </w:p>
    <w:p>
      <w:pPr>
        <w:pStyle w:val="BodyText"/>
      </w:pPr>
      <w:r>
        <w:t xml:space="preserve">Registration No: 201001045678</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the Firefighter Services Directorate for the procurement of specialized</w:t>
      </w:r>
      <w:r>
        <w:t xml:space="preserve"> </w:t>
      </w:r>
      <w:r>
        <w:t xml:space="preserve">Firefighter</w:t>
      </w:r>
      <w:r>
        <w:t xml:space="preserve"> </w:t>
      </w:r>
      <w:r>
        <w:t xml:space="preserve">personal protective equipment, structural firefighting apparatus, and operational supplies. All items listed herein are intended for deployment across the</w:t>
      </w:r>
      <w:r>
        <w:t xml:space="preserve"> </w:t>
      </w:r>
      <w:r>
        <w:t xml:space="preserve">Malaysia Kuala Lumpur</w:t>
      </w:r>
      <w:r>
        <w:t xml:space="preserve"> </w:t>
      </w:r>
      <w:r>
        <w:t xml:space="preserve">metropolitan fire response network, including but not limited to the Central Fire Station, the Petaling Jaya Satellite Station, and the Gombak East Firefighter Deployment Hub. This</w:t>
      </w:r>
      <w:r>
        <w:t xml:space="preserve"> </w:t>
      </w:r>
      <w:r>
        <w:t xml:space="preserve">Purchase Order</w:t>
      </w:r>
      <w:r>
        <w:t xml:space="preserve"> </w:t>
      </w:r>
      <w:r>
        <w:t xml:space="preserve">supersedes all prior quotations and verbal agreements regarding</w:t>
      </w:r>
      <w:r>
        <w:t xml:space="preserve"> </w:t>
      </w:r>
      <w:r>
        <w:t xml:space="preserve">Firefighter</w:t>
      </w:r>
      <w:r>
        <w:t xml:space="preserve"> </w:t>
      </w:r>
      <w:r>
        <w:t xml:space="preserve">equipment procurement for the fiscal year 2025/2026 in the</w:t>
      </w:r>
      <w:r>
        <w:t xml:space="preserve"> </w:t>
      </w:r>
      <w:r>
        <w:t xml:space="preserve">Malaysia Kuala Lumpur</w:t>
      </w:r>
      <w:r>
        <w:t xml:space="preserve"> </w:t>
      </w:r>
      <w:r>
        <w:t xml:space="preserve">jurisdiction.</w:t>
      </w:r>
    </w:p>
    <w:bookmarkEnd w:id="24"/>
    <w:bookmarkStart w:id="25" w:name="Xde30baffd6ada7943d616e9aca285bbe1027599"/>
    <w:p>
      <w:pPr>
        <w:pStyle w:val="Heading2"/>
      </w:pPr>
      <w:r>
        <w:t xml:space="preserve">3. Line Items – Firefighter Equipment and Supplies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01</w:t>
            </w:r>
          </w:p>
        </w:tc>
        <w:tc>
          <w:tcPr/>
          <w:p>
            <w:pPr>
              <w:pStyle w:val="Compact"/>
              <w:jc w:val="left"/>
            </w:pPr>
            <w:r>
              <w:t xml:space="preserve">Firefighter Structural Turnout Gear (Full Set)</w:t>
            </w:r>
          </w:p>
        </w:tc>
        <w:tc>
          <w:tcPr/>
          <w:p>
            <w:pPr>
              <w:pStyle w:val="Compact"/>
              <w:jc w:val="left"/>
            </w:pPr>
            <w:r>
              <w:t xml:space="preserve">EN 469:2020 / MS 1525 compliant, 3-layer Nomex/Kevlar, reflective trim</w:t>
            </w:r>
          </w:p>
        </w:tc>
        <w:tc>
          <w:tcPr/>
          <w:p>
            <w:pPr>
              <w:pStyle w:val="Compact"/>
              <w:jc w:val="left"/>
            </w:pPr>
            <w:r>
              <w:t xml:space="preserve">250</w:t>
            </w:r>
          </w:p>
        </w:tc>
        <w:tc>
          <w:tcPr/>
          <w:p>
            <w:pPr>
              <w:pStyle w:val="Compact"/>
              <w:jc w:val="left"/>
            </w:pPr>
            <w:r>
              <w:t xml:space="preserve">4,850.00</w:t>
            </w:r>
          </w:p>
        </w:tc>
        <w:tc>
          <w:tcPr/>
          <w:p>
            <w:pPr>
              <w:pStyle w:val="Compact"/>
              <w:jc w:val="left"/>
            </w:pPr>
            <w:r>
              <w:t xml:space="preserve">1,212,500.00</w:t>
            </w:r>
          </w:p>
        </w:tc>
      </w:tr>
      <w:tr>
        <w:tc>
          <w:tcPr/>
          <w:p>
            <w:pPr>
              <w:pStyle w:val="Compact"/>
              <w:jc w:val="left"/>
            </w:pPr>
            <w:r>
              <w:t xml:space="preserve">02</w:t>
            </w:r>
          </w:p>
        </w:tc>
        <w:tc>
          <w:tcPr/>
          <w:p>
            <w:pPr>
              <w:pStyle w:val="Compact"/>
              <w:jc w:val="left"/>
            </w:pPr>
            <w:r>
              <w:t xml:space="preserve">Firefighter Self-Contained Breathing Apparatus (SCBA)</w:t>
            </w:r>
          </w:p>
        </w:tc>
        <w:tc>
          <w:tcPr/>
          <w:p>
            <w:pPr>
              <w:pStyle w:val="Compact"/>
              <w:jc w:val="left"/>
            </w:pPr>
            <w:r>
              <w:t xml:space="preserve">30-min, 300-bar composite cylinder, NFPA 1981, with face mask</w:t>
            </w:r>
          </w:p>
        </w:tc>
        <w:tc>
          <w:tcPr/>
          <w:p>
            <w:pPr>
              <w:pStyle w:val="Compact"/>
              <w:jc w:val="left"/>
            </w:pPr>
            <w:r>
              <w:t xml:space="preserve">120</w:t>
            </w:r>
          </w:p>
        </w:tc>
        <w:tc>
          <w:tcPr/>
          <w:p>
            <w:pPr>
              <w:pStyle w:val="Compact"/>
              <w:jc w:val="left"/>
            </w:pPr>
            <w:r>
              <w:t xml:space="preserve">6,200.00</w:t>
            </w:r>
          </w:p>
        </w:tc>
        <w:tc>
          <w:tcPr/>
          <w:p>
            <w:pPr>
              <w:pStyle w:val="Compact"/>
              <w:jc w:val="left"/>
            </w:pPr>
            <w:r>
              <w:t xml:space="preserve">744,000.00</w:t>
            </w:r>
          </w:p>
        </w:tc>
      </w:tr>
      <w:tr>
        <w:tc>
          <w:tcPr/>
          <w:p>
            <w:pPr>
              <w:pStyle w:val="Compact"/>
              <w:jc w:val="left"/>
            </w:pPr>
            <w:r>
              <w:t xml:space="preserve">03</w:t>
            </w:r>
          </w:p>
        </w:tc>
        <w:tc>
          <w:tcPr/>
          <w:p>
            <w:pPr>
              <w:pStyle w:val="Compact"/>
              <w:jc w:val="left"/>
            </w:pPr>
            <w:r>
              <w:t xml:space="preserve">Firefighter Helmet with Visor and Neck Protector</w:t>
            </w:r>
          </w:p>
        </w:tc>
        <w:tc>
          <w:tcPr/>
          <w:p>
            <w:pPr>
              <w:pStyle w:val="Compact"/>
              <w:jc w:val="left"/>
            </w:pPr>
            <w:r>
              <w:t xml:space="preserve">MS 1525:2019, ABS shell, integrated headlamp mount</w:t>
            </w:r>
          </w:p>
        </w:tc>
        <w:tc>
          <w:tcPr/>
          <w:p>
            <w:pPr>
              <w:pStyle w:val="Compact"/>
              <w:jc w:val="left"/>
            </w:pPr>
            <w:r>
              <w:t xml:space="preserve">250</w:t>
            </w:r>
          </w:p>
        </w:tc>
        <w:tc>
          <w:tcPr/>
          <w:p>
            <w:pPr>
              <w:pStyle w:val="Compact"/>
              <w:jc w:val="left"/>
            </w:pPr>
            <w:r>
              <w:t xml:space="preserve">680.00</w:t>
            </w:r>
          </w:p>
        </w:tc>
        <w:tc>
          <w:tcPr/>
          <w:p>
            <w:pPr>
              <w:pStyle w:val="Compact"/>
              <w:jc w:val="left"/>
            </w:pPr>
            <w:r>
              <w:t xml:space="preserve">170,000.00</w:t>
            </w:r>
          </w:p>
        </w:tc>
      </w:tr>
      <w:tr>
        <w:tc>
          <w:tcPr/>
          <w:p>
            <w:pPr>
              <w:pStyle w:val="Compact"/>
              <w:jc w:val="left"/>
            </w:pPr>
            <w:r>
              <w:t xml:space="preserve">04</w:t>
            </w:r>
          </w:p>
        </w:tc>
        <w:tc>
          <w:tcPr/>
          <w:p>
            <w:pPr>
              <w:pStyle w:val="Compact"/>
              <w:jc w:val="left"/>
            </w:pPr>
            <w:r>
              <w:t xml:space="preserve">Firefighter Thermal Imaging Camera</w:t>
            </w:r>
          </w:p>
        </w:tc>
        <w:tc>
          <w:tcPr/>
          <w:p>
            <w:pPr>
              <w:pStyle w:val="Compact"/>
              <w:jc w:val="left"/>
            </w:pPr>
            <w:r>
              <w:t xml:space="preserve">640x480 resolution, 320x240 video, 4-hour battery, IP67</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05</w:t>
            </w:r>
          </w:p>
        </w:tc>
        <w:tc>
          <w:tcPr/>
          <w:p>
            <w:pPr>
              <w:pStyle w:val="Compact"/>
              <w:jc w:val="left"/>
            </w:pPr>
            <w:r>
              <w:t xml:space="preserve">Firefighter Rescue Gloves (Heat-Resistant)</w:t>
            </w:r>
          </w:p>
        </w:tc>
        <w:tc>
          <w:tcPr/>
          <w:p>
            <w:pPr>
              <w:pStyle w:val="Compact"/>
              <w:jc w:val="left"/>
            </w:pPr>
            <w:r>
              <w:t xml:space="preserve">EN 407:2023, 500°C max, Kevlar-lined, size M–XL</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06</w:t>
            </w:r>
          </w:p>
        </w:tc>
        <w:tc>
          <w:tcPr/>
          <w:p>
            <w:pPr>
              <w:pStyle w:val="Compact"/>
              <w:jc w:val="left"/>
            </w:pPr>
            <w:r>
              <w:t xml:space="preserve">Firefighter Safety Boots (Metatarsal Guard)</w:t>
            </w:r>
          </w:p>
        </w:tc>
        <w:tc>
          <w:tcPr/>
          <w:p>
            <w:pPr>
              <w:pStyle w:val="Compact"/>
              <w:jc w:val="left"/>
            </w:pPr>
            <w:r>
              <w:t xml:space="preserve">EN ISO 20345 S3, steel toe, oil-resistant sole, size 39–47</w:t>
            </w:r>
          </w:p>
        </w:tc>
        <w:tc>
          <w:tcPr/>
          <w:p>
            <w:pPr>
              <w:pStyle w:val="Compact"/>
              <w:jc w:val="left"/>
            </w:pPr>
            <w:r>
              <w:t xml:space="preserve">250</w:t>
            </w:r>
          </w:p>
        </w:tc>
        <w:tc>
          <w:tcPr/>
          <w:p>
            <w:pPr>
              <w:pStyle w:val="Compact"/>
              <w:jc w:val="left"/>
            </w:pPr>
            <w:r>
              <w:t xml:space="preserve">520.00</w:t>
            </w:r>
          </w:p>
        </w:tc>
        <w:tc>
          <w:tcPr/>
          <w:p>
            <w:pPr>
              <w:pStyle w:val="Compact"/>
              <w:jc w:val="left"/>
            </w:pPr>
            <w:r>
              <w:t xml:space="preserve">130,000.00</w:t>
            </w:r>
          </w:p>
        </w:tc>
      </w:tr>
      <w:tr>
        <w:tc>
          <w:tcPr/>
          <w:p>
            <w:pPr>
              <w:pStyle w:val="Compact"/>
              <w:jc w:val="left"/>
            </w:pPr>
            <w:r>
              <w:t xml:space="preserve">07</w:t>
            </w:r>
          </w:p>
        </w:tc>
        <w:tc>
          <w:tcPr/>
          <w:p>
            <w:pPr>
              <w:pStyle w:val="Compact"/>
              <w:jc w:val="left"/>
            </w:pPr>
            <w:r>
              <w:t xml:space="preserve">Firefighter Hydraulic Rescue Tool Set (Jaws of Life)</w:t>
            </w:r>
          </w:p>
        </w:tc>
        <w:tc>
          <w:tcPr/>
          <w:p>
            <w:pPr>
              <w:pStyle w:val="Compact"/>
              <w:jc w:val="left"/>
            </w:pPr>
            <w:r>
              <w:t xml:space="preserve">Spread/cut/combine, 40-ton force, 12V hydraulic power unit</w:t>
            </w:r>
          </w:p>
        </w:tc>
        <w:tc>
          <w:tcPr/>
          <w:p>
            <w:pPr>
              <w:pStyle w:val="Compact"/>
              <w:jc w:val="left"/>
            </w:pPr>
            <w:r>
              <w:t xml:space="preserve">15</w:t>
            </w:r>
          </w:p>
        </w:tc>
        <w:tc>
          <w:tcPr/>
          <w:p>
            <w:pPr>
              <w:pStyle w:val="Compact"/>
              <w:jc w:val="left"/>
            </w:pPr>
            <w:r>
              <w:t xml:space="preserve">85,000.00</w:t>
            </w:r>
          </w:p>
        </w:tc>
        <w:tc>
          <w:tcPr/>
          <w:p>
            <w:pPr>
              <w:pStyle w:val="Compact"/>
              <w:jc w:val="left"/>
            </w:pPr>
            <w:r>
              <w:t xml:space="preserve">1,275,000.00</w:t>
            </w:r>
          </w:p>
        </w:tc>
      </w:tr>
      <w:tr>
        <w:tc>
          <w:tcPr/>
          <w:p>
            <w:pPr>
              <w:pStyle w:val="Compact"/>
              <w:jc w:val="left"/>
            </w:pPr>
            <w:r>
              <w:t xml:space="preserve">08</w:t>
            </w:r>
          </w:p>
        </w:tc>
        <w:tc>
          <w:tcPr/>
          <w:p>
            <w:pPr>
              <w:pStyle w:val="Compact"/>
              <w:jc w:val="left"/>
            </w:pPr>
            <w:r>
              <w:t xml:space="preserve">Firefighter Radio Communication Set (UHF)</w:t>
            </w:r>
          </w:p>
        </w:tc>
        <w:tc>
          <w:tcPr/>
          <w:p>
            <w:pPr>
              <w:pStyle w:val="Compact"/>
              <w:jc w:val="left"/>
            </w:pPr>
            <w:r>
              <w:t xml:space="preserve">IP68, 5W, 12-hour battery, encrypted, KL frequency band</w:t>
            </w:r>
          </w:p>
        </w:tc>
        <w:tc>
          <w:tcPr/>
          <w:p>
            <w:pPr>
              <w:pStyle w:val="Compact"/>
              <w:jc w:val="left"/>
            </w:pPr>
            <w:r>
              <w:t xml:space="preserve">300</w:t>
            </w:r>
          </w:p>
        </w:tc>
        <w:tc>
          <w:tcPr/>
          <w:p>
            <w:pPr>
              <w:pStyle w:val="Compact"/>
              <w:jc w:val="left"/>
            </w:pPr>
            <w:r>
              <w:t xml:space="preserve">1,450.00</w:t>
            </w:r>
          </w:p>
        </w:tc>
        <w:tc>
          <w:tcPr/>
          <w:p>
            <w:pPr>
              <w:pStyle w:val="Compact"/>
              <w:jc w:val="left"/>
            </w:pPr>
            <w:r>
              <w:t xml:space="preserve">435,000.00</w:t>
            </w:r>
          </w:p>
        </w:tc>
      </w:tr>
      <w:tr>
        <w:tc>
          <w:tcPr/>
          <w:p>
            <w:pPr>
              <w:pStyle w:val="Compact"/>
              <w:jc w:val="left"/>
            </w:pPr>
            <w:r>
              <w:t xml:space="preserve">09</w:t>
            </w:r>
          </w:p>
        </w:tc>
        <w:tc>
          <w:tcPr/>
          <w:p>
            <w:pPr>
              <w:pStyle w:val="Compact"/>
              <w:jc w:val="left"/>
            </w:pPr>
            <w:r>
              <w:t xml:space="preserve">Firefighter Training Mannequin (Burn Simulation)</w:t>
            </w:r>
          </w:p>
        </w:tc>
        <w:tc>
          <w:tcPr/>
          <w:p>
            <w:pPr>
              <w:pStyle w:val="Compact"/>
              <w:jc w:val="left"/>
            </w:pPr>
            <w:r>
              <w:t xml:space="preserve">Full-body, heat-resistant, reusable, with gas supply kit</w:t>
            </w:r>
          </w:p>
        </w:tc>
        <w:tc>
          <w:tcPr/>
          <w:p>
            <w:pPr>
              <w:pStyle w:val="Compact"/>
              <w:jc w:val="left"/>
            </w:pPr>
            <w:r>
              <w:t xml:space="preserve">10</w:t>
            </w:r>
          </w:p>
        </w:tc>
        <w:tc>
          <w:tcPr/>
          <w:p>
            <w:pPr>
              <w:pStyle w:val="Compact"/>
              <w:jc w:val="left"/>
            </w:pPr>
            <w:r>
              <w:t xml:space="preserve">18,000.00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Firefighter Decontamination Shower Unit (Portable)</w:t>
            </w:r>
          </w:p>
        </w:tc>
        <w:tc>
          <w:tcPr/>
          <w:p>
            <w:pPr>
              <w:pStyle w:val="Compact"/>
              <w:jc w:val="left"/>
            </w:pPr>
            <w:r>
              <w:t xml:space="preserve">200L tank, 12V pump, 4-nozzle array, foldable frame</w:t>
            </w:r>
          </w:p>
        </w:tc>
        <w:tc>
          <w:tcPr/>
          <w:p>
            <w:pPr>
              <w:pStyle w:val="Compact"/>
              <w:jc w:val="left"/>
            </w:pPr>
            <w:r>
              <w:t xml:space="preserve">20</w:t>
            </w:r>
          </w:p>
        </w:tc>
        <w:tc>
          <w:tcPr/>
          <w:p>
            <w:pPr>
              <w:pStyle w:val="Compact"/>
              <w:jc w:val="left"/>
            </w:pPr>
            <w:r>
              <w:t xml:space="preserve">7,800.00</w:t>
            </w:r>
          </w:p>
        </w:tc>
        <w:tc>
          <w:tcPr/>
          <w:p>
            <w:pPr>
              <w:pStyle w:val="Compact"/>
              <w:jc w:val="left"/>
            </w:pPr>
            <w:r>
              <w:t xml:space="preserve">156,000.00</w:t>
            </w:r>
          </w:p>
        </w:tc>
      </w:tr>
      <w:tr>
        <w:tc>
          <w:tcPr>
            <w:gridSpan w:val="5"/>
          </w:tcPr>
          <w:p>
            <w:pPr>
              <w:pStyle w:val="Compact"/>
              <w:jc w:val="right"/>
            </w:pPr>
            <w:r>
              <w:t xml:space="preserve">Subtotal:</w:t>
            </w:r>
          </w:p>
        </w:tc>
        <w:tc>
          <w:tcPr/>
          <w:p>
            <w:pPr>
              <w:pStyle w:val="Compact"/>
              <w:jc w:val="left"/>
            </w:pPr>
            <w:r>
              <w:t xml:space="preserve">4,895,000.00</w:t>
            </w:r>
          </w:p>
        </w:tc>
      </w:tr>
      <w:tr>
        <w:tc>
          <w:tcPr>
            <w:gridSpan w:val="5"/>
          </w:tcPr>
          <w:p>
            <w:pPr>
              <w:pStyle w:val="Compact"/>
              <w:jc w:val="right"/>
            </w:pPr>
            <w:r>
              <w:t xml:space="preserve">Sales Tax (SST 10%):</w:t>
            </w:r>
          </w:p>
        </w:tc>
        <w:tc>
          <w:tcPr/>
          <w:p>
            <w:pPr>
              <w:pStyle w:val="Compact"/>
              <w:jc w:val="left"/>
            </w:pPr>
            <w:r>
              <w:t xml:space="preserve">489,500.00</w:t>
            </w:r>
          </w:p>
        </w:tc>
      </w:tr>
      <w:tr>
        <w:tc>
          <w:tcPr>
            <w:gridSpan w:val="5"/>
          </w:tcPr>
          <w:p>
            <w:pPr>
              <w:pStyle w:val="Compact"/>
              <w:jc w:val="right"/>
            </w:pPr>
            <w:r>
              <w:t xml:space="preserve">Delivery &amp; Installation (Malaysia Kuala Lumpur):</w:t>
            </w:r>
          </w:p>
        </w:tc>
        <w:tc>
          <w:tcPr/>
          <w:p>
            <w:pPr>
              <w:pStyle w:val="Compact"/>
              <w:jc w:val="left"/>
            </w:pPr>
            <w:r>
              <w:t xml:space="preserve">45,000.00</w:t>
            </w:r>
          </w:p>
        </w:tc>
      </w:tr>
      <w:tr>
        <w:tc>
          <w:tcPr>
            <w:gridSpan w:val="5"/>
          </w:tcPr>
          <w:p>
            <w:pPr>
              <w:pStyle w:val="Compact"/>
              <w:jc w:val="right"/>
            </w:pPr>
            <w:r>
              <w:t xml:space="preserve">GRAND TOTAL (MYR):</w:t>
            </w:r>
          </w:p>
        </w:tc>
        <w:tc>
          <w:tcPr/>
          <w:p>
            <w:pPr>
              <w:pStyle w:val="Compact"/>
              <w:jc w:val="left"/>
            </w:pPr>
            <w:r>
              <w:t xml:space="preserve">5,429,500.00</w:t>
            </w:r>
          </w:p>
        </w:tc>
      </w:tr>
    </w:tbl>
    <w:bookmarkEnd w:id="25"/>
    <w:bookmarkStart w:id="26" w:name="delivery-and-installation-terms"/>
    <w:p>
      <w:pPr>
        <w:pStyle w:val="Heading2"/>
      </w:pPr>
      <w:r>
        <w:t xml:space="preserve">4. Delivery and Installation Terms</w:t>
      </w:r>
    </w:p>
    <w:p>
      <w:pPr>
        <w:pStyle w:val="FirstParagraph"/>
      </w:pPr>
      <w:r>
        <w:t xml:space="preserve">All</w:t>
      </w:r>
      <w:r>
        <w:t xml:space="preserve"> </w:t>
      </w:r>
      <w:r>
        <w:t xml:space="preserve">Firefighter</w:t>
      </w:r>
      <w:r>
        <w:t xml:space="preserve"> </w:t>
      </w:r>
      <w:r>
        <w:t xml:space="preserve">equipment specified in this</w:t>
      </w:r>
      <w:r>
        <w:t xml:space="preserve"> </w:t>
      </w:r>
      <w:r>
        <w:t xml:space="preserve">Purchase Order</w:t>
      </w:r>
      <w:r>
        <w:t xml:space="preserve"> </w:t>
      </w:r>
      <w:r>
        <w:t xml:space="preserve">shall be delivered to the designated</w:t>
      </w:r>
      <w:r>
        <w:t xml:space="preserve"> </w:t>
      </w:r>
      <w:r>
        <w:t xml:space="preserve">Malaysia Kuala Lumpur</w:t>
      </w:r>
      <w:r>
        <w:t xml:space="preserve"> </w:t>
      </w:r>
      <w:r>
        <w:t xml:space="preserve">fire stations within forty-five (45) calendar days from the date of Purchase Order acceptance. The primary delivery address is the Central Firefighter Depot, Jalan Tun Razak, 50400 Malaysia Kuala Lumpur. Secondary deliveries to satellite stations in Petaling Jaya, Gombak, and Ampang shall be coordinated by the supplier in consultation with the Firefighter Logistics Officer. The supplier is responsible for all transportation, insurance, and handling costs within the</w:t>
      </w:r>
      <w:r>
        <w:t xml:space="preserve"> </w:t>
      </w:r>
      <w:r>
        <w:t xml:space="preserve">Malaysia Kuala Lumpur</w:t>
      </w:r>
      <w:r>
        <w:t xml:space="preserve"> </w:t>
      </w:r>
      <w:r>
        <w:t xml:space="preserve">metropolitan area. Installation, calibration, and initial commissioning of all</w:t>
      </w:r>
      <w:r>
        <w:t xml:space="preserve"> </w:t>
      </w:r>
      <w:r>
        <w:t xml:space="preserve">Firefighter</w:t>
      </w:r>
      <w:r>
        <w:t xml:space="preserve"> </w:t>
      </w:r>
      <w:r>
        <w:t xml:space="preserve">apparatus shall be completed and certified prior to final acceptance.</w:t>
      </w:r>
    </w:p>
    <w:bookmarkEnd w:id="26"/>
    <w:bookmarkStart w:id="27" w:name="payment-terms"/>
    <w:p>
      <w:pPr>
        <w:pStyle w:val="Heading2"/>
      </w:pPr>
      <w:r>
        <w:t xml:space="preserve">5. Payment Terms</w:t>
      </w:r>
    </w:p>
    <w:p>
      <w:pPr>
        <w:numPr>
          <w:ilvl w:val="0"/>
          <w:numId w:val="1001"/>
        </w:numPr>
        <w:pStyle w:val="Compact"/>
      </w:pPr>
      <w:r>
        <w:rPr>
          <w:bCs/>
          <w:b/>
        </w:rPr>
        <w:t xml:space="preserve">30% Advance Payment:</w:t>
      </w:r>
      <w:r>
        <w:t xml:space="preserve"> </w:t>
      </w:r>
      <w:r>
        <w:t xml:space="preserve">MYR 1,628,850.00 upon signed acceptance of this Purchase Order, payable within fourteen (14) working days via bank transfer to the supplier's designated account.</w:t>
      </w:r>
    </w:p>
    <w:p>
      <w:pPr>
        <w:numPr>
          <w:ilvl w:val="0"/>
          <w:numId w:val="1001"/>
        </w:numPr>
        <w:pStyle w:val="Compact"/>
      </w:pPr>
      <w:r>
        <w:rPr>
          <w:bCs/>
          <w:b/>
        </w:rPr>
        <w:t xml:space="preserve">50% Progress Payment:</w:t>
      </w:r>
      <w:r>
        <w:t xml:space="preserve"> </w:t>
      </w:r>
      <w:r>
        <w:t xml:space="preserve">MYR 2,714,750.00 upon delivery and physical inspection of all Firefighter equipment at the Malaysia Kuala Lumpur depot, subject to a joint inspection report signed by both parties.</w:t>
      </w:r>
    </w:p>
    <w:p>
      <w:pPr>
        <w:numPr>
          <w:ilvl w:val="0"/>
          <w:numId w:val="1001"/>
        </w:numPr>
        <w:pStyle w:val="Compact"/>
      </w:pPr>
      <w:r>
        <w:rPr>
          <w:bCs/>
          <w:b/>
        </w:rPr>
        <w:t xml:space="preserve">20% Final Payment:</w:t>
      </w:r>
      <w:r>
        <w:t xml:space="preserve"> </w:t>
      </w:r>
      <w:r>
        <w:t xml:space="preserve">MYR 1,085,900.00 upon successful completion of installation, calibration, and a 30-day operational trial period for all Firefighter systems.</w:t>
      </w:r>
    </w:p>
    <w:p>
      <w:pPr>
        <w:numPr>
          <w:ilvl w:val="0"/>
          <w:numId w:val="1001"/>
        </w:numPr>
        <w:pStyle w:val="Compact"/>
      </w:pPr>
      <w:r>
        <w:t xml:space="preserve">All payments shall be made in Malaysian Ringgit (MYR) to the supplier's registered bank account. Late payments shall incur interest at the rate of 5% per annum as stipulated under Malaysian commercial law.</w:t>
      </w:r>
    </w:p>
    <w:bookmarkEnd w:id="27"/>
    <w:bookmarkStart w:id="28" w:name="quality-assurance-and-compliance"/>
    <w:p>
      <w:pPr>
        <w:pStyle w:val="Heading2"/>
      </w:pPr>
      <w:r>
        <w:t xml:space="preserve">6. Quality Assurance and Compliance</w:t>
      </w:r>
    </w:p>
    <w:p>
      <w:pPr>
        <w:pStyle w:val="FirstParagraph"/>
      </w:pPr>
      <w:r>
        <w:t xml:space="preserve">All Firefighter equipment procured under this Purchase Order must comply with the Malaysian Standard MS 1525 (Personal Protective Equipment for Firefighters) and the relevant European Norms (EN 469, EN 407, EN ISO 20345) as adopted by the Department of Standards Malaysia (Jabatan Standard Malaysia). The supplier shall provide certificates of conformity, material test reports, and traceability documentation for every batch of Firefighter gear delivered to Malaysia Kuala Lumpur. A minimum of five percent (5%) of each item category shall be randomly selected for independent third-party testing by an accredited laboratory in Malaysia Kuala Lumpur prior to acceptance. Non-conforming items shall be replaced at the supplier's sole expense within ten (10) working days.</w:t>
      </w:r>
    </w:p>
    <w:bookmarkEnd w:id="28"/>
    <w:bookmarkStart w:id="29" w:name="warranty-and-after-sales-support"/>
    <w:p>
      <w:pPr>
        <w:pStyle w:val="Heading2"/>
      </w:pPr>
      <w:r>
        <w:t xml:space="preserve">7. Warranty and After-Sales Support</w:t>
      </w:r>
    </w:p>
    <w:p>
      <w:pPr>
        <w:pStyle w:val="FirstParagraph"/>
      </w:pPr>
      <w:r>
        <w:t xml:space="preserve">The supplier warrants all Firefighter equipment against defects in materials and workmanship for a period of three (3) years from the date of final acceptance in Malaysia Kuala Lumpur. During the warranty period, the supplier shall provide on-site repair or replacement services within forty-eight (48) hours of a written defect notification. The supplier shall also provide a dedicated after-sales support hotline accessible to all Firefighter units in the Malaysia Kuala Lumpur region, staffed by certified technicians with a minimum of five years' experience in Firefighter equipment maintenance. Annual preventive maintenance contracts for hydraulic rescue tools and SCBA units shall be offered at a separately negotiated rate.</w:t>
      </w:r>
    </w:p>
    <w:bookmarkEnd w:id="29"/>
    <w:bookmarkStart w:id="30" w:name="general-conditions"/>
    <w:p>
      <w:pPr>
        <w:pStyle w:val="Heading2"/>
      </w:pPr>
      <w:r>
        <w:t xml:space="preserve">8. General Conditions</w:t>
      </w:r>
    </w:p>
    <w:p>
      <w:pPr>
        <w:numPr>
          <w:ilvl w:val="0"/>
          <w:numId w:val="1002"/>
        </w:numPr>
        <w:pStyle w:val="Compact"/>
      </w:pPr>
      <w:r>
        <w:t xml:space="preserve">This Purchase Order constitutes a binding agreement between the Firefighter Services Directorate and the named supplier upon countersignature by both authorized representatives.</w:t>
      </w:r>
    </w:p>
    <w:p>
      <w:pPr>
        <w:numPr>
          <w:ilvl w:val="0"/>
          <w:numId w:val="1002"/>
        </w:numPr>
        <w:pStyle w:val="Compact"/>
      </w:pPr>
      <w:r>
        <w:t xml:space="preserve">The supplier shall maintain adequate public liability insurance (minimum MYR 5,000,000) and product liability insurance for all Firefighter equipment supplied to Malaysia Kuala Lumpur.</w:t>
      </w:r>
    </w:p>
    <w:p>
      <w:pPr>
        <w:numPr>
          <w:ilvl w:val="0"/>
          <w:numId w:val="1002"/>
        </w:numPr>
        <w:pStyle w:val="Compact"/>
      </w:pPr>
      <w:r>
        <w:t xml:space="preserve">Any modification, variation, or amendment to this Purchase Order must be documented in writing and signed by both parties. Verbal instructions shall not be binding.</w:t>
      </w:r>
    </w:p>
    <w:p>
      <w:pPr>
        <w:numPr>
          <w:ilvl w:val="0"/>
          <w:numId w:val="1002"/>
        </w:numPr>
        <w:pStyle w:val="Compact"/>
      </w:pPr>
      <w:r>
        <w:t xml:space="preserve">The supplier shall comply with all applicable Malaysian labor, environmental, and occupational safety regulations during the manufacturing, packaging, and delivery of Firefighter equipment.</w:t>
      </w:r>
    </w:p>
    <w:p>
      <w:pPr>
        <w:numPr>
          <w:ilvl w:val="0"/>
          <w:numId w:val="1002"/>
        </w:numPr>
        <w:pStyle w:val="Compact"/>
      </w:pPr>
      <w:r>
        <w:t xml:space="preserve">In the event of a dispute, both parties shall first attempt resolution through good-faith negotiation. Unresolved disputes shall be referred to arbitration under the rules of the Asian International Arbitration Centre (AIAC) in Malaysia Kuala Lumpur.</w:t>
      </w:r>
    </w:p>
    <w:p>
      <w:pPr>
        <w:numPr>
          <w:ilvl w:val="0"/>
          <w:numId w:val="1002"/>
        </w:numPr>
        <w:pStyle w:val="Compact"/>
      </w:pPr>
      <w:r>
        <w:t xml:space="preserve">This Purchase Order is governed by and shall be construed in accordance with the laws of Malaysia.</w:t>
      </w:r>
    </w:p>
    <w:bookmarkEnd w:id="30"/>
    <w:bookmarkStart w:id="31" w:name="acceptance-and-authorization"/>
    <w:p>
      <w:pPr>
        <w:pStyle w:val="Heading2"/>
      </w:pPr>
      <w:r>
        <w:t xml:space="preserve">9. Acceptance and Authorization</w:t>
      </w:r>
    </w:p>
    <w:p>
      <w:pPr>
        <w:pStyle w:val="FirstParagraph"/>
      </w:pPr>
      <w:r>
        <w:t xml:space="preserve">By signing below, both parties acknowledge and agree to all terms, conditions, and specifications set forth in this Purchase Order for the procurement of Firefighter equipment for use in Malaysia Kuala Lumpur. This document, together with all attached schedules and technical specifications, forms the complete and exclusive agreement between the parties with respect to the subject matter herein.</w:t>
      </w:r>
    </w:p>
    <w:bookmarkEnd w:id="31"/>
    <w:p>
      <w:pPr>
        <w:pStyle w:val="BodyText"/>
      </w:pPr>
      <w:r>
        <w:rPr>
          <w:bCs/>
          <w:b/>
        </w:rPr>
        <w:t xml:space="preserve">For and on behalf of the Buyer:</w:t>
      </w:r>
    </w:p>
    <w:p>
      <w:pPr>
        <w:pStyle w:val="BodyText"/>
      </w:pPr>
      <w:r>
        <w:t xml:space="preserve">Firefighter Services Directorate</w:t>
      </w:r>
    </w:p>
    <w:p>
      <w:pPr>
        <w:pStyle w:val="BodyText"/>
      </w:pPr>
      <w:r>
        <w:t xml:space="preserve">Department of Fire and Rescue, Malaysia Kuala Lumpur</w:t>
      </w:r>
    </w:p>
    <w:p>
      <w:pPr>
        <w:pStyle w:val="BodyText"/>
      </w:pPr>
      <w:r>
        <w:t xml:space="preserve">Name:</w:t>
      </w:r>
      <w:r>
        <w:t xml:space="preserve"> </w:t>
      </w:r>
      <w:r>
        <w:rPr>
          <w:bCs/>
          <w:b/>
        </w:rPr>
        <w:t xml:space="preserve">Dato' Ahmad bin Ismail</w:t>
      </w:r>
      <w:r>
        <w:br/>
      </w:r>
      <w:r>
        <w:t xml:space="preserve">Designation: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Selamat Api Equipment Sdn. Bhd.</w:t>
      </w:r>
    </w:p>
    <w:p>
      <w:pPr>
        <w:pStyle w:val="BodyText"/>
      </w:pPr>
      <w:r>
        <w:t xml:space="preserve">Kajang, Selangor, Malaysia</w:t>
      </w:r>
    </w:p>
    <w:p>
      <w:pPr>
        <w:pStyle w:val="BodyText"/>
      </w:pPr>
      <w:r>
        <w:t xml:space="preserve">Name:</w:t>
      </w:r>
      <w:r>
        <w:t xml:space="preserve"> </w:t>
      </w:r>
      <w:r>
        <w:rPr>
          <w:bCs/>
          <w:b/>
        </w:rPr>
        <w:t xml:space="preserve">Mr. Rajesh Kumar Nair</w:t>
      </w:r>
      <w:r>
        <w:br/>
      </w:r>
      <w:r>
        <w:t xml:space="preserve">Designation: Managing Director</w:t>
      </w:r>
      <w:r>
        <w:br/>
      </w:r>
      <w:r>
        <w:t xml:space="preserve">Signature: _________________________</w:t>
      </w:r>
      <w:r>
        <w:br/>
      </w:r>
      <w:r>
        <w:t xml:space="preserve">Date: _________________________</w:t>
      </w:r>
    </w:p>
    <w:p>
      <w:pPr>
        <w:pStyle w:val="BodyText"/>
      </w:pPr>
      <w:r>
        <w:t xml:space="preserve">[ OFFICIAL STAMP – FIREFIGHTER SERVICES DIRECTORATE, MALAYSIA KUALA LUMPUR ]</w:t>
      </w:r>
      <w:r>
        <w:br/>
      </w:r>
      <w:r>
        <w:t xml:space="preserve">This Purchase Order is issued under the authority of the Firefighter Procurement Committee, Malaysia Kuala Lumpur.</w:t>
      </w:r>
    </w:p>
    <w:p>
      <w:pPr>
        <w:pStyle w:val="BodyText"/>
      </w:pPr>
      <w:r>
        <w:t xml:space="preserve">Document Reference: PO KL-FF-2025-00487 | Firefighter Equipment Procurement | Malaysia Kuala Lumpur | Page 1 of 1</w:t>
      </w:r>
      <w:r>
        <w:br/>
      </w:r>
      <w:r>
        <w:t xml:space="preserve">This Purchase Order is the property of the Firefighter Services Directorate. Unauthorized reproduction or distribution is prohibited under Malaysian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Malaysia Kuala Lumpur</dc:title>
  <dc:creator/>
  <dc:language>en</dc:language>
  <cp:keywords/>
  <dcterms:created xsi:type="dcterms:W3CDTF">2026-10-10T05:12:20Z</dcterms:created>
  <dcterms:modified xsi:type="dcterms:W3CDTF">2026-10-10T05:12:20Z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