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Firefighter Equipment and Safety Supplies</w:t>
      </w:r>
    </w:p>
    <w:p>
      <w:pPr>
        <w:pStyle w:val="BodyText"/>
      </w:pPr>
      <w:r>
        <w:t xml:space="preserve">Republic of the Philippines — Metro Manila Region</w:t>
      </w:r>
    </w:p>
    <w:p>
      <w:pPr>
        <w:pStyle w:val="BodyText"/>
      </w:pPr>
      <w:r>
        <w:t xml:space="preserve">PO No.: MM-FIRE-2025-00472</w:t>
      </w:r>
    </w:p>
    <w:bookmarkEnd w:id="20"/>
    <w:p>
      <w:pPr>
        <w:pStyle w:val="BodyText"/>
      </w:pPr>
      <w:r>
        <w:rPr>
          <w:bCs/>
          <w:b/>
        </w:rPr>
        <w:t xml:space="preserve">Date of Issue:</w:t>
      </w:r>
      <w:r>
        <w:t xml:space="preserve"> </w:t>
      </w:r>
      <w:r>
        <w:t xml:space="preserve">June 15, 2025</w:t>
      </w:r>
      <w:r>
        <w:t xml:space="preserve"> </w:t>
      </w:r>
      <w:r>
        <w:rPr>
          <w:bCs/>
          <w:b/>
        </w:rPr>
        <w:t xml:space="preserve">Required Delivery Date:</w:t>
      </w:r>
      <w:r>
        <w:t xml:space="preserve"> </w:t>
      </w:r>
      <w:r>
        <w:t xml:space="preserve">July 15, 2025</w:t>
      </w:r>
      <w:r>
        <w:t xml:space="preserve"> </w:t>
      </w:r>
      <w:r>
        <w:rPr>
          <w:bCs/>
          <w:b/>
        </w:rPr>
        <w:t xml:space="preserve">Valid Until:</w:t>
      </w:r>
      <w:r>
        <w:t xml:space="preserve"> </w:t>
      </w:r>
      <w:r>
        <w:t xml:space="preserve">August 15, 2025</w:t>
      </w:r>
    </w:p>
    <w:bookmarkStart w:id="21" w:name="buyer-receiving-party"/>
    <w:p>
      <w:pPr>
        <w:pStyle w:val="Heading3"/>
      </w:pPr>
      <w:r>
        <w:t xml:space="preserve">BUYER (Receiving Party)</w:t>
      </w:r>
    </w:p>
    <w:p>
      <w:pPr>
        <w:pStyle w:val="FirstParagraph"/>
      </w:pPr>
      <w:r>
        <w:rPr>
          <w:bCs/>
          <w:b/>
        </w:rPr>
        <w:t xml:space="preserve">Manila Fire Department</w:t>
      </w:r>
    </w:p>
    <w:p>
      <w:pPr>
        <w:pStyle w:val="BodyText"/>
      </w:pPr>
      <w:r>
        <w:t xml:space="preserve">Office of the Fire Chief</w:t>
      </w:r>
    </w:p>
    <w:p>
      <w:pPr>
        <w:pStyle w:val="BodyText"/>
      </w:pPr>
      <w:r>
        <w:t xml:space="preserve">City Government of Manila</w:t>
      </w:r>
    </w:p>
    <w:p>
      <w:pPr>
        <w:pStyle w:val="BodyText"/>
      </w:pPr>
      <w:r>
        <w:t xml:space="preserve">1000 Manila, Philippines</w:t>
      </w:r>
    </w:p>
    <w:p>
      <w:pPr>
        <w:pStyle w:val="BodyText"/>
      </w:pPr>
      <w:r>
        <w:t xml:space="preserve">Tel: (+63) 2 8524-1000</w:t>
      </w:r>
    </w:p>
    <w:p>
      <w:pPr>
        <w:pStyle w:val="BodyText"/>
      </w:pPr>
      <w:r>
        <w:t xml:space="preserve">Email: procurement@manilafire.gov.ph</w:t>
      </w:r>
    </w:p>
    <w:p>
      <w:pPr>
        <w:pStyle w:val="BodyText"/>
      </w:pPr>
      <w:r>
        <w:t xml:space="preserve">TIN: 000-000-000-000</w:t>
      </w:r>
    </w:p>
    <w:bookmarkEnd w:id="21"/>
    <w:bookmarkStart w:id="22" w:name="seller-supplier"/>
    <w:p>
      <w:pPr>
        <w:pStyle w:val="Heading3"/>
      </w:pPr>
      <w:r>
        <w:t xml:space="preserve">SELLER (Supplier)</w:t>
      </w:r>
    </w:p>
    <w:p>
      <w:pPr>
        <w:pStyle w:val="FirstParagraph"/>
      </w:pPr>
      <w:r>
        <w:rPr>
          <w:bCs/>
          <w:b/>
        </w:rPr>
        <w:t xml:space="preserve">Philippine Firefighter Equipment Corp.</w:t>
      </w:r>
    </w:p>
    <w:p>
      <w:pPr>
        <w:pStyle w:val="BodyText"/>
      </w:pPr>
      <w:r>
        <w:t xml:space="preserve">Unit 402, BGC Corporate Tower</w:t>
      </w:r>
    </w:p>
    <w:p>
      <w:pPr>
        <w:pStyle w:val="BodyText"/>
      </w:pPr>
      <w:r>
        <w:t xml:space="preserve">1777 Makati City, Metro Manila</w:t>
      </w:r>
    </w:p>
    <w:p>
      <w:pPr>
        <w:pStyle w:val="BodyText"/>
      </w:pPr>
      <w:r>
        <w:t xml:space="preserve">Philippines</w:t>
      </w:r>
    </w:p>
    <w:p>
      <w:pPr>
        <w:pStyle w:val="BodyText"/>
      </w:pPr>
      <w:r>
        <w:t xml:space="preserve">Tel: (+63) 2 8888-5500</w:t>
      </w:r>
    </w:p>
    <w:p>
      <w:pPr>
        <w:pStyle w:val="BodyText"/>
      </w:pPr>
      <w:r>
        <w:t xml:space="preserve">Email: sales@pfequipment.ph</w:t>
      </w:r>
    </w:p>
    <w:p>
      <w:pPr>
        <w:pStyle w:val="BodyText"/>
      </w:pPr>
      <w:r>
        <w:t xml:space="preserve">TIN: 123-456-789-000</w:t>
      </w:r>
    </w:p>
    <w:bookmarkEnd w:id="22"/>
    <w:p>
      <w:pPr>
        <w:pStyle w:val="BodyText"/>
      </w:pPr>
      <w:r>
        <w:t xml:space="preserve">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Item</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t xml:space="preserve">Full-Body Firefighter Turnout Gear (Helmet, Coat, Trousers, Gloves, Boots) — NFPA 1971/1977 Compliant</w:t>
            </w:r>
          </w:p>
        </w:tc>
        <w:tc>
          <w:tcPr/>
          <w:p>
            <w:pPr>
              <w:pStyle w:val="Compact"/>
              <w:jc w:val="left"/>
            </w:pPr>
            <w:r>
              <w:t xml:space="preserve">NFPA 1971, PFRS Standard</w:t>
            </w:r>
          </w:p>
        </w:tc>
        <w:tc>
          <w:tcPr/>
          <w:p>
            <w:pPr>
              <w:pStyle w:val="Compact"/>
              <w:jc w:val="left"/>
            </w:pPr>
            <w:r>
              <w:t xml:space="preserve">120 sets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Self-Contained Breathing Apparatus (SCBA) — 30-Minute Duration, Firefighter Grade</w:t>
            </w:r>
          </w:p>
        </w:tc>
        <w:tc>
          <w:tcPr/>
          <w:p>
            <w:pPr>
              <w:pStyle w:val="Compact"/>
              <w:jc w:val="left"/>
            </w:pPr>
            <w:r>
              <w:t xml:space="preserve">NFPA 1981, DOT PH</w:t>
            </w:r>
          </w:p>
        </w:tc>
        <w:tc>
          <w:tcPr/>
          <w:p>
            <w:pPr>
              <w:pStyle w:val="Compact"/>
              <w:jc w:val="left"/>
            </w:pPr>
            <w:r>
              <w:t xml:space="preserve">80 units</w:t>
            </w:r>
          </w:p>
        </w:tc>
        <w:tc>
          <w:tcPr/>
          <w:p>
            <w:pPr>
              <w:pStyle w:val="Compact"/>
              <w:jc w:val="left"/>
            </w:pPr>
            <w:r>
              <w:t xml:space="preserve">38,500.00</w:t>
            </w:r>
          </w:p>
        </w:tc>
        <w:tc>
          <w:tcPr/>
          <w:p>
            <w:pPr>
              <w:pStyle w:val="Compact"/>
              <w:jc w:val="left"/>
            </w:pPr>
            <w:r>
              <w:t xml:space="preserve">3,080,000.00</w:t>
            </w:r>
          </w:p>
        </w:tc>
      </w:tr>
      <w:tr>
        <w:tc>
          <w:tcPr/>
          <w:p>
            <w:pPr>
              <w:pStyle w:val="Compact"/>
              <w:jc w:val="left"/>
            </w:pPr>
            <w:r>
              <w:t xml:space="preserve">3</w:t>
            </w:r>
          </w:p>
        </w:tc>
        <w:tc>
          <w:tcPr/>
          <w:p>
            <w:pPr>
              <w:pStyle w:val="Compact"/>
              <w:jc w:val="left"/>
            </w:pPr>
            <w:r>
              <w:t xml:space="preserve">Firefighter Thermal Imaging Camera — Infrared, 640x480 Resolution</w:t>
            </w:r>
          </w:p>
        </w:tc>
        <w:tc>
          <w:tcPr/>
          <w:p>
            <w:pPr>
              <w:pStyle w:val="Compact"/>
              <w:jc w:val="left"/>
            </w:pPr>
            <w:r>
              <w:t xml:space="preserve">NFPA 1801</w:t>
            </w:r>
          </w:p>
        </w:tc>
        <w:tc>
          <w:tcPr/>
          <w:p>
            <w:pPr>
              <w:pStyle w:val="Compact"/>
              <w:jc w:val="left"/>
            </w:pPr>
            <w:r>
              <w:t xml:space="preserve">15 units</w:t>
            </w:r>
          </w:p>
        </w:tc>
        <w:tc>
          <w:tcPr/>
          <w:p>
            <w:pPr>
              <w:pStyle w:val="Compact"/>
              <w:jc w:val="left"/>
            </w:pPr>
            <w:r>
              <w:t xml:space="preserve">125,000.00</w:t>
            </w:r>
          </w:p>
        </w:tc>
        <w:tc>
          <w:tcPr/>
          <w:p>
            <w:pPr>
              <w:pStyle w:val="Compact"/>
              <w:jc w:val="left"/>
            </w:pPr>
            <w:r>
              <w:t xml:space="preserve">1,875,000.00</w:t>
            </w:r>
          </w:p>
        </w:tc>
      </w:tr>
      <w:tr>
        <w:tc>
          <w:tcPr/>
          <w:p>
            <w:pPr>
              <w:pStyle w:val="Compact"/>
              <w:jc w:val="left"/>
            </w:pPr>
            <w:r>
              <w:t xml:space="preserve">4</w:t>
            </w:r>
          </w:p>
        </w:tc>
        <w:tc>
          <w:tcPr/>
          <w:p>
            <w:pPr>
              <w:pStyle w:val="Compact"/>
              <w:jc w:val="left"/>
            </w:pPr>
            <w:r>
              <w:t xml:space="preserve">Firefighter Rescue Rope Kit (100m, 12mm, Kevlar Core) with Harness and Carabiners</w:t>
            </w:r>
          </w:p>
        </w:tc>
        <w:tc>
          <w:tcPr/>
          <w:p>
            <w:pPr>
              <w:pStyle w:val="Compact"/>
              <w:jc w:val="left"/>
            </w:pPr>
            <w:r>
              <w:t xml:space="preserve">EN 1891, PFRS</w:t>
            </w:r>
          </w:p>
        </w:tc>
        <w:tc>
          <w:tcPr/>
          <w:p>
            <w:pPr>
              <w:pStyle w:val="Compact"/>
              <w:jc w:val="left"/>
            </w:pPr>
            <w:r>
              <w:t xml:space="preserve">50 kits</w:t>
            </w:r>
          </w:p>
        </w:tc>
        <w:tc>
          <w:tcPr/>
          <w:p>
            <w:pPr>
              <w:pStyle w:val="Compact"/>
              <w:jc w:val="left"/>
            </w:pPr>
            <w:r>
              <w:t xml:space="preserve">12,000.00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Firefighter Portable Fire Extinguisher (ABC Dry Chemical, 9kg) for Station Deployment</w:t>
            </w:r>
          </w:p>
        </w:tc>
        <w:tc>
          <w:tcPr/>
          <w:p>
            <w:pPr>
              <w:pStyle w:val="Compact"/>
              <w:jc w:val="left"/>
            </w:pPr>
            <w:r>
              <w:t xml:space="preserve">UL 299, BPS PH</w:t>
            </w:r>
          </w:p>
        </w:tc>
        <w:tc>
          <w:tcPr/>
          <w:p>
            <w:pPr>
              <w:pStyle w:val="Compact"/>
              <w:jc w:val="left"/>
            </w:pPr>
            <w:r>
              <w:t xml:space="preserve">200 units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6</w:t>
            </w:r>
          </w:p>
        </w:tc>
        <w:tc>
          <w:tcPr/>
          <w:p>
            <w:pPr>
              <w:pStyle w:val="Compact"/>
              <w:jc w:val="left"/>
            </w:pPr>
            <w:r>
              <w:t xml:space="preserve">Firefighter Radiotelephone (UHF/VHF Dual-Band, Intrinsically Safe) for Manila Fire Station Communication</w:t>
            </w:r>
          </w:p>
        </w:tc>
        <w:tc>
          <w:tcPr/>
          <w:p>
            <w:pPr>
              <w:pStyle w:val="Compact"/>
              <w:jc w:val="left"/>
            </w:pPr>
            <w:r>
              <w:t xml:space="preserve">NTC PH, IEC 60079</w:t>
            </w:r>
          </w:p>
        </w:tc>
        <w:tc>
          <w:tcPr/>
          <w:p>
            <w:pPr>
              <w:pStyle w:val="Compact"/>
              <w:jc w:val="left"/>
            </w:pPr>
            <w:r>
              <w:t xml:space="preserve">60 units</w:t>
            </w:r>
          </w:p>
        </w:tc>
        <w:tc>
          <w:tcPr/>
          <w:p>
            <w:pPr>
              <w:pStyle w:val="Compact"/>
              <w:jc w:val="left"/>
            </w:pPr>
            <w:r>
              <w:t xml:space="preserve">18,500.00</w:t>
            </w:r>
          </w:p>
        </w:tc>
        <w:tc>
          <w:tcPr/>
          <w:p>
            <w:pPr>
              <w:pStyle w:val="Compact"/>
              <w:jc w:val="left"/>
            </w:pPr>
            <w:r>
              <w:t xml:space="preserve">1,110,000.00</w:t>
            </w:r>
          </w:p>
        </w:tc>
      </w:tr>
      <w:tr>
        <w:tc>
          <w:tcPr/>
          <w:p>
            <w:pPr>
              <w:pStyle w:val="Compact"/>
              <w:jc w:val="left"/>
            </w:pPr>
            <w:r>
              <w:t xml:space="preserve">7</w:t>
            </w:r>
          </w:p>
        </w:tc>
        <w:tc>
          <w:tcPr/>
          <w:p>
            <w:pPr>
              <w:pStyle w:val="Compact"/>
              <w:jc w:val="left"/>
            </w:pPr>
            <w:r>
              <w:t xml:space="preserve">Firefighter First Aid and Burn Treatment Kit (Per Station, 20-Person Capacity)</w:t>
            </w:r>
          </w:p>
        </w:tc>
        <w:tc>
          <w:tcPr/>
          <w:p>
            <w:pPr>
              <w:pStyle w:val="Compact"/>
              <w:jc w:val="left"/>
            </w:pPr>
            <w:r>
              <w:t xml:space="preserve">DOH PH Standard</w:t>
            </w:r>
          </w:p>
        </w:tc>
        <w:tc>
          <w:tcPr/>
          <w:p>
            <w:pPr>
              <w:pStyle w:val="Compact"/>
              <w:jc w:val="left"/>
            </w:pPr>
            <w:r>
              <w:t xml:space="preserve">25 kits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8</w:t>
            </w:r>
          </w:p>
        </w:tc>
        <w:tc>
          <w:tcPr/>
          <w:p>
            <w:pPr>
              <w:pStyle w:val="Compact"/>
              <w:jc w:val="left"/>
            </w:pPr>
            <w:r>
              <w:t xml:space="preserve">Firefighter Training Mannequin (Adult, Full-Size, with CPR and Airway Practice Features)</w:t>
            </w:r>
          </w:p>
        </w:tc>
        <w:tc>
          <w:tcPr/>
          <w:p>
            <w:pPr>
              <w:pStyle w:val="Compact"/>
              <w:jc w:val="left"/>
            </w:pPr>
            <w:r>
              <w:t xml:space="preserve">AHA/ARC Standard</w:t>
            </w:r>
          </w:p>
        </w:tc>
        <w:tc>
          <w:tcPr/>
          <w:p>
            <w:pPr>
              <w:pStyle w:val="Compact"/>
              <w:jc w:val="left"/>
            </w:pPr>
            <w:r>
              <w:t xml:space="preserve">10 units</w:t>
            </w:r>
          </w:p>
        </w:tc>
        <w:tc>
          <w:tcPr/>
          <w:p>
            <w:pPr>
              <w:pStyle w:val="Compact"/>
              <w:jc w:val="left"/>
            </w:pPr>
            <w:r>
              <w:t xml:space="preserve">55,000.00</w:t>
            </w:r>
          </w:p>
        </w:tc>
        <w:tc>
          <w:tcPr/>
          <w:p>
            <w:pPr>
              <w:pStyle w:val="Compact"/>
              <w:jc w:val="left"/>
            </w:pPr>
            <w:r>
              <w:t xml:space="preserve">550,000.00</w:t>
            </w:r>
          </w:p>
        </w:tc>
      </w:tr>
      <w:tr>
        <w:tc>
          <w:tcPr>
            <w:gridSpan w:val="5"/>
          </w:tcPr>
          <w:p>
            <w:pPr>
              <w:pStyle w:val="Compact"/>
              <w:jc w:val="right"/>
            </w:pPr>
            <w:r>
              <w:t xml:space="preserve">SUBTOTAL</w:t>
            </w:r>
          </w:p>
        </w:tc>
        <w:tc>
          <w:tcPr/>
          <w:p>
            <w:pPr>
              <w:pStyle w:val="Compact"/>
              <w:jc w:val="left"/>
            </w:pPr>
            <w:r>
              <w:t xml:space="preserve">13,467,500.00</w:t>
            </w:r>
          </w:p>
        </w:tc>
      </w:tr>
      <w:tr>
        <w:tc>
          <w:tcPr>
            <w:gridSpan w:val="5"/>
          </w:tcPr>
          <w:p>
            <w:pPr>
              <w:pStyle w:val="Compact"/>
              <w:jc w:val="right"/>
            </w:pPr>
            <w:r>
              <w:t xml:space="preserve">VAT (12%) — Republic of the Philippines</w:t>
            </w:r>
          </w:p>
        </w:tc>
        <w:tc>
          <w:tcPr/>
          <w:p>
            <w:pPr>
              <w:pStyle w:val="Compact"/>
              <w:jc w:val="left"/>
            </w:pPr>
            <w:r>
              <w:t xml:space="preserve">1,616,100.00</w:t>
            </w:r>
          </w:p>
        </w:tc>
      </w:tr>
      <w:tr>
        <w:tc>
          <w:tcPr>
            <w:gridSpan w:val="5"/>
          </w:tcPr>
          <w:p>
            <w:pPr>
              <w:pStyle w:val="Compact"/>
              <w:jc w:val="right"/>
            </w:pPr>
            <w:r>
              <w:t xml:space="preserve">DELIVERY &amp; INSTALLATION (Metro Manila)</w:t>
            </w:r>
          </w:p>
        </w:tc>
        <w:tc>
          <w:tcPr/>
          <w:p>
            <w:pPr>
              <w:pStyle w:val="Compact"/>
              <w:jc w:val="left"/>
            </w:pPr>
            <w:r>
              <w:t xml:space="preserve">185,000.00</w:t>
            </w:r>
          </w:p>
        </w:tc>
      </w:tr>
      <w:tr>
        <w:tc>
          <w:tcPr>
            <w:gridSpan w:val="5"/>
          </w:tcPr>
          <w:p>
            <w:pPr>
              <w:pStyle w:val="Compact"/>
              <w:jc w:val="right"/>
            </w:pPr>
            <w:r>
              <w:t xml:space="preserve">GRAND TOTAL (PHP)</w:t>
            </w:r>
          </w:p>
        </w:tc>
        <w:tc>
          <w:tcPr/>
          <w:p>
            <w:pPr>
              <w:pStyle w:val="Compact"/>
              <w:jc w:val="left"/>
            </w:pPr>
            <w:r>
              <w:t xml:space="preserve">15,268,600.00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the Manila Fire Department for the procurement of Firefighter equipment, safety gear, and operational supplies to be deployed across all active fire stations within the City of Manila, Philippines. All items listed above must meet or exceed the specifications stated and comply with the Philippine Fire Code (P.D. 1185) and Bureau of Fire Protection (BFP) standards.</w:t>
      </w:r>
    </w:p>
    <w:p>
      <w:pPr>
        <w:numPr>
          <w:ilvl w:val="0"/>
          <w:numId w:val="1001"/>
        </w:numPr>
        <w:pStyle w:val="Compact"/>
      </w:pPr>
      <w:r>
        <w:rPr>
          <w:bCs/>
          <w:b/>
        </w:rPr>
        <w:t xml:space="preserve">Delivery:</w:t>
      </w:r>
      <w:r>
        <w:t xml:space="preserve"> </w:t>
      </w:r>
      <w:r>
        <w:t xml:space="preserve">The Supplier shall deliver all Firefighter equipment to the designated Manila Fire Station locations within Metro Manila no later than July 15, 2025. Delivery shall be made during regular business hours (0800H to 1700H) and must be coordinated with the Manila Fire Department Logistics Office. All transportation and handling costs within the Philippines Manila area are included in the delivery charge.</w:t>
      </w:r>
    </w:p>
    <w:p>
      <w:pPr>
        <w:numPr>
          <w:ilvl w:val="0"/>
          <w:numId w:val="1001"/>
        </w:numPr>
        <w:pStyle w:val="Compact"/>
      </w:pPr>
      <w:r>
        <w:rPr>
          <w:bCs/>
          <w:b/>
        </w:rPr>
        <w:t xml:space="preserve">Quality Assurance:</w:t>
      </w:r>
      <w:r>
        <w:t xml:space="preserve"> </w:t>
      </w:r>
      <w:r>
        <w:t xml:space="preserve">All Firefighter gear and equipment must be new, unused, and carry valid certification from recognized international bodies (NFPA, UL, EN) as well as Philippine Bureau of Standards (BPS) compliance where applicable. The Supplier shall provide certificates of conformity, test reports, and warranty documentation with each delivery.</w:t>
      </w:r>
    </w:p>
    <w:p>
      <w:pPr>
        <w:numPr>
          <w:ilvl w:val="0"/>
          <w:numId w:val="1001"/>
        </w:numPr>
        <w:pStyle w:val="Compact"/>
      </w:pPr>
      <w:r>
        <w:rPr>
          <w:bCs/>
          <w:b/>
        </w:rPr>
        <w:t xml:space="preserve">Warranty:</w:t>
      </w:r>
      <w:r>
        <w:t xml:space="preserve"> </w:t>
      </w:r>
      <w:r>
        <w:t xml:space="preserve">The Supplier guarantees a minimum of two (2) years warranty on all Firefighter equipment from the date of acceptance. Any defective items discovered within the warranty period shall be replaced at no additional cost to the Manila Fire Department.</w:t>
      </w:r>
    </w:p>
    <w:p>
      <w:pPr>
        <w:numPr>
          <w:ilvl w:val="0"/>
          <w:numId w:val="1001"/>
        </w:numPr>
        <w:pStyle w:val="Compact"/>
      </w:pPr>
      <w:r>
        <w:rPr>
          <w:bCs/>
          <w:b/>
        </w:rPr>
        <w:t xml:space="preserve">Payment Terms:</w:t>
      </w:r>
      <w:r>
        <w:t xml:space="preserve"> </w:t>
      </w:r>
      <w:r>
        <w:t xml:space="preserve">Payment shall be made via check or bank transfer to the Supplier's designated account. A 30% advance payment is due upon signing of this Purchase Order. The remaining 70% shall be released within fifteen (15) business days after full delivery, inspection, and written acceptance by the Manila Fire Department Procurement Officer.</w:t>
      </w:r>
    </w:p>
    <w:p>
      <w:pPr>
        <w:numPr>
          <w:ilvl w:val="0"/>
          <w:numId w:val="1001"/>
        </w:numPr>
        <w:pStyle w:val="Compact"/>
      </w:pPr>
      <w:r>
        <w:rPr>
          <w:bCs/>
          <w:b/>
        </w:rPr>
        <w:t xml:space="preserve">Inspection and Acceptance:</w:t>
      </w:r>
      <w:r>
        <w:t xml:space="preserve"> </w:t>
      </w:r>
      <w:r>
        <w:t xml:space="preserve">Upon delivery in Manila, the receiving Firefighter unit shall inspect all items for quantity, condition, and compliance with the specifications in this Purchase Order. Rejection of non-conforming items must be communicated in writing within five (5) business days of delivery.</w:t>
      </w:r>
    </w:p>
    <w:p>
      <w:pPr>
        <w:numPr>
          <w:ilvl w:val="0"/>
          <w:numId w:val="1001"/>
        </w:numPr>
        <w:pStyle w:val="Compact"/>
      </w:pPr>
      <w:r>
        <w:rPr>
          <w:bCs/>
          <w:b/>
        </w:rPr>
        <w:t xml:space="preserve">Compliance with Philippine Law:</w:t>
      </w:r>
      <w:r>
        <w:t xml:space="preserve"> </w:t>
      </w:r>
      <w:r>
        <w:t xml:space="preserve">This Purchase Order is governed by the laws of the Republic of the Philippines. Any disputes arising from this transaction shall be resolved in the courts of Manila, Philippines. The Supplier confirms that all items are legally importable and sellable within the Philippines and that all applicable customs duties and taxes have been accounted for.</w:t>
      </w:r>
    </w:p>
    <w:p>
      <w:pPr>
        <w:numPr>
          <w:ilvl w:val="0"/>
          <w:numId w:val="1001"/>
        </w:numPr>
        <w:pStyle w:val="Compact"/>
      </w:pPr>
      <w:r>
        <w:rPr>
          <w:bCs/>
          <w:b/>
        </w:rPr>
        <w:t xml:space="preserve">Confidentiality:</w:t>
      </w:r>
      <w:r>
        <w:t xml:space="preserve"> </w:t>
      </w:r>
      <w:r>
        <w:t xml:space="preserve">Both parties agree to maintain the confidentiality of pricing, operational details, and Firefighter deployment information related to this Purchase Order. No information shall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delays caused by natural disasters (typhoons, earthquakes), government-mandated closures, or other events beyond reasonable control, provided that written notice is given within 48 hours of the event.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the Manila Fire Department and the Supplier. Verbal agreements regarding Firefighter equipment specifications or delivery schedules in the Philippines Manila area are not binding.</w:t>
      </w:r>
    </w:p>
    <w:p>
      <w:pPr>
        <w:pStyle w:val="FirstParagraph"/>
      </w:pPr>
      <w:r>
        <w:t xml:space="preserve">AUTHORIZED SIGNATORIES</w:t>
      </w:r>
    </w:p>
    <w:p>
      <w:pPr>
        <w:pStyle w:val="BodyText"/>
      </w:pPr>
      <w:r>
        <w:rPr>
          <w:bCs/>
          <w:b/>
        </w:rPr>
        <w:t xml:space="preserve">For the Manila Fire Department (Buyer)</w:t>
      </w:r>
      <w:r>
        <w:br/>
      </w:r>
      <w:r>
        <w:t xml:space="preserve">Fire Chief / Procurement Officer</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Philippine Firefighter Equipment Corp. (Seller)</w:t>
      </w:r>
      <w:r>
        <w:br/>
      </w:r>
      <w:r>
        <w:t xml:space="preserve">Authorized Sales Representative</w:t>
      </w:r>
      <w:r>
        <w:br/>
      </w:r>
      <w:r>
        <w:t xml:space="preserve">Name: ___________________________</w:t>
      </w:r>
      <w:r>
        <w:br/>
      </w:r>
      <w:r>
        <w:t xml:space="preserve">Signature: _______________________</w:t>
      </w:r>
      <w:r>
        <w:br/>
      </w:r>
      <w:r>
        <w:t xml:space="preserve">Date: ___________________________</w:t>
      </w:r>
    </w:p>
    <w:p>
      <w:pPr>
        <w:pStyle w:val="BodyText"/>
      </w:pPr>
      <w:r>
        <w:t xml:space="preserve">This Purchase Order (PO No. MM-FIRE-2025-00472) is issued for the procurement of Firefighter equipment and safety supplies for deployment in the Philippines Manila region. This document is valid for a period of sixty (60) days from the date of issue. Unauthorized reproduction or distribution of this Purchase Order is strictly prohibited.</w:t>
      </w:r>
    </w:p>
    <w:p>
      <w:pPr>
        <w:pStyle w:val="BodyText"/>
      </w:pPr>
      <w:r>
        <w:t xml:space="preserve">Manila Fire Department • City Government of Manila • Republic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Philippines Manila</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