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Saudi</w:t>
      </w:r>
      <w:r>
        <w:t xml:space="preserve"> </w:t>
      </w:r>
      <w:r>
        <w:t xml:space="preserve">Arabia</w:t>
      </w:r>
      <w:r>
        <w:t xml:space="preserve"> </w:t>
      </w:r>
      <w:r>
        <w:t xml:space="preserve">Jeddah</w:t>
      </w:r>
    </w:p>
    <w:bookmarkStart w:id="28" w:name="purchase-order"/>
    <w:p>
      <w:pPr>
        <w:pStyle w:val="Heading1"/>
      </w:pPr>
      <w:r>
        <w:t xml:space="preserve">PURCHASE ORDER</w:t>
      </w:r>
    </w:p>
    <w:p>
      <w:pPr>
        <w:pStyle w:val="FirstParagraph"/>
      </w:pPr>
      <w:r>
        <w:rPr>
          <w:bCs/>
          <w:b/>
        </w:rPr>
        <w:t xml:space="preserve">Firefighter Equipment and Protective Gear Supply</w:t>
      </w:r>
      <w:r>
        <w:br/>
      </w:r>
      <w:r>
        <w:t xml:space="preserve">Saudi Arabia Jeddah – Civil Defense &amp; Municipal Fire Services</w:t>
      </w:r>
    </w:p>
    <w:p>
      <w:pPr>
        <w:pStyle w:val="BodyText"/>
      </w:pPr>
      <w:r>
        <w:rPr>
          <w:bCs/>
          <w:b/>
        </w:rPr>
        <w:t xml:space="preserve">Purchase Order No.:</w:t>
      </w:r>
      <w:r>
        <w:t xml:space="preserve"> </w:t>
      </w:r>
      <w:r>
        <w:t xml:space="preserve">PO-JED-FF-2025-04872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Priority:</w:t>
      </w:r>
      <w:r>
        <w:t xml:space="preserve"> </w:t>
      </w:r>
      <w:r>
        <w:t xml:space="preserve">Urgent – Statutory Compliance</w:t>
      </w:r>
    </w:p>
    <w:p>
      <w:pPr>
        <w:pStyle w:val="BodyText"/>
      </w:pPr>
      <w:r>
        <w:rPr>
          <w:bCs/>
          <w:b/>
        </w:rPr>
        <w:t xml:space="preserve">Buyer:</w:t>
      </w:r>
      <w:r>
        <w:t xml:space="preserve"> </w:t>
      </w:r>
      <w:r>
        <w:t xml:space="preserve">Jeddah Civil Defense Directorate</w:t>
      </w:r>
      <w:r>
        <w:br/>
      </w:r>
      <w:r>
        <w:rPr>
          <w:bCs/>
          <w:b/>
        </w:rPr>
        <w:t xml:space="preserve">Address:</w:t>
      </w:r>
      <w:r>
        <w:t xml:space="preserve"> </w:t>
      </w:r>
      <w:r>
        <w:t xml:space="preserve">King Fahd Road, Al Shati District,</w:t>
      </w:r>
      <w:r>
        <w:br/>
      </w:r>
      <w:r>
        <w:t xml:space="preserve">Jeddah 23412, Saudi Arabia</w:t>
      </w:r>
      <w:r>
        <w:br/>
      </w:r>
      <w:r>
        <w:rPr>
          <w:bCs/>
          <w:b/>
        </w:rPr>
        <w:t xml:space="preserve">Contact:</w:t>
      </w:r>
      <w:r>
        <w:t xml:space="preserve"> </w:t>
      </w:r>
      <w:r>
        <w:t xml:space="preserve">procurement.jeddahcd@saudi.gov.sa</w:t>
      </w:r>
      <w:r>
        <w:br/>
      </w:r>
      <w:r>
        <w:rPr>
          <w:bCs/>
          <w:b/>
        </w:rPr>
        <w:t xml:space="preserve">Phone:</w:t>
      </w:r>
      <w:r>
        <w:t xml:space="preserve"> </w:t>
      </w:r>
      <w:r>
        <w:t xml:space="preserve">+966 12 660 4400</w:t>
      </w:r>
    </w:p>
    <w:bookmarkStart w:id="20" w:name="supplier-vendor-information"/>
    <w:p>
      <w:pPr>
        <w:pStyle w:val="Heading2"/>
      </w:pPr>
      <w:r>
        <w:t xml:space="preserve">1. Supplier / Vendor Information</w:t>
      </w:r>
    </w:p>
    <w:p>
      <w:pPr>
        <w:pStyle w:val="FirstParagraph"/>
      </w:pPr>
      <w:r>
        <w:rPr>
          <w:bCs/>
          <w:b/>
        </w:rPr>
        <w:t xml:space="preserve">Supplier Name:</w:t>
      </w:r>
      <w:r>
        <w:t xml:space="preserve"> </w:t>
      </w:r>
      <w:r>
        <w:t xml:space="preserve">Gulf Safety &amp; Fire Protection Industries LLC</w:t>
      </w:r>
      <w:r>
        <w:br/>
      </w:r>
      <w:r>
        <w:rPr>
          <w:bCs/>
          <w:b/>
        </w:rPr>
        <w:t xml:space="preserve">Address:</w:t>
      </w:r>
      <w:r>
        <w:t xml:space="preserve"> </w:t>
      </w:r>
      <w:r>
        <w:t xml:space="preserve">Industrial City, Jeddah 23511, Saudi Arabia</w:t>
      </w:r>
      <w:r>
        <w:br/>
      </w:r>
      <w:r>
        <w:rPr>
          <w:bCs/>
          <w:b/>
        </w:rPr>
        <w:t xml:space="preserve">Commercial Registration No.:</w:t>
      </w:r>
      <w:r>
        <w:t xml:space="preserve"> </w:t>
      </w:r>
      <w:r>
        <w:t xml:space="preserve">1010456789</w:t>
      </w:r>
      <w:r>
        <w:br/>
      </w:r>
      <w:r>
        <w:rPr>
          <w:bCs/>
          <w:b/>
        </w:rPr>
        <w:t xml:space="preserve">VAT Registration No.:</w:t>
      </w:r>
      <w:r>
        <w:t xml:space="preserve"> </w:t>
      </w:r>
      <w:r>
        <w:t xml:space="preserve">310123456700003</w:t>
      </w:r>
      <w:r>
        <w:br/>
      </w:r>
      <w:r>
        <w:rPr>
          <w:bCs/>
          <w:b/>
        </w:rPr>
        <w:t xml:space="preserve">Contact Person:</w:t>
      </w:r>
      <w:r>
        <w:t xml:space="preserve"> </w:t>
      </w:r>
      <w:r>
        <w:t xml:space="preserve">Eng. Khalid Al-Rashidi, Procurement Manager</w:t>
      </w:r>
      <w:r>
        <w:br/>
      </w:r>
      <w:r>
        <w:rPr>
          <w:bCs/>
          <w:b/>
        </w:rPr>
        <w:t xml:space="preserve">Email:</w:t>
      </w:r>
      <w:r>
        <w:t xml:space="preserve"> </w:t>
      </w:r>
      <w:r>
        <w:t xml:space="preserve">sales@gulf-safety-fire.com</w:t>
      </w:r>
      <w:r>
        <w:br/>
      </w:r>
      <w:r>
        <w:rPr>
          <w:bCs/>
          <w:b/>
        </w:rPr>
        <w:t xml:space="preserve">Phone:</w:t>
      </w:r>
      <w:r>
        <w:t xml:space="preserve"> </w:t>
      </w:r>
      <w:r>
        <w:t xml:space="preserve">+966 12 555 7890</w:t>
      </w:r>
    </w:p>
    <w:bookmarkEnd w:id="20"/>
    <w:bookmarkStart w:id="21" w:name="purchase-order-scope-and-purpose"/>
    <w:p>
      <w:pPr>
        <w:pStyle w:val="Heading2"/>
      </w:pPr>
      <w:r>
        <w:t xml:space="preserve">2. Purchase Order Scope and Purpose</w:t>
      </w:r>
    </w:p>
    <w:p>
      <w:pPr>
        <w:pStyle w:val="FirstParagraph"/>
      </w:pPr>
      <w:r>
        <w:t xml:space="preserve">This Purchase Order is issued by the Jeddah Civil Defense Directorate to procure a comprehensive set of Firefighter personal protective equipment (PPE), structural firefighting apparatus, and specialized rescue tools. The Firefighter personnel stationed across all fire stations in Saudi Arabia Jeddah require immediate replenishment and upgrade of their operational gear to comply with the latest Saudi Standards, Metrology and Quality Organization (SASO) regulations and the International Fire Protection Association (IFPA) standards. This Purchase Order covers the supply, delivery, installation, and initial calibration of all listed items to be deployed at the Jeddah Coastal Fire Station, Al Balad Fire Station, and the Jeddah International Airport Fire Brigade.</w:t>
      </w:r>
    </w:p>
    <w:bookmarkEnd w:id="21"/>
    <w:bookmarkStart w:id="22" w:name="Xfdb06117fb38c8fdac07852257637c3f7a0682e"/>
    <w:p>
      <w:pPr>
        <w:pStyle w:val="Heading2"/>
      </w:pPr>
      <w:r>
        <w:t xml:space="preserve">3. Line Items – Firefighter Equipment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Firefighter Turnout Gear – Full Ensemble (Helmet, Coat, Trousers, Gloves, Boots) – NFPA 1971 / SASO Compliant</w:t>
            </w:r>
          </w:p>
        </w:tc>
        <w:tc>
          <w:tcPr/>
          <w:p>
            <w:pPr>
              <w:pStyle w:val="Compact"/>
              <w:jc w:val="left"/>
            </w:pPr>
            <w:r>
              <w:t xml:space="preserve">250</w:t>
            </w:r>
          </w:p>
        </w:tc>
        <w:tc>
          <w:tcPr/>
          <w:p>
            <w:pPr>
              <w:pStyle w:val="Compact"/>
              <w:jc w:val="left"/>
            </w:pPr>
            <w:r>
              <w:t xml:space="preserve">Sets</w:t>
            </w:r>
          </w:p>
        </w:tc>
        <w:tc>
          <w:tcPr/>
          <w:p>
            <w:pPr>
              <w:pStyle w:val="Compact"/>
              <w:jc w:val="left"/>
            </w:pPr>
            <w:r>
              <w:t xml:space="preserve">4,850.00</w:t>
            </w:r>
          </w:p>
        </w:tc>
        <w:tc>
          <w:tcPr/>
          <w:p>
            <w:pPr>
              <w:pStyle w:val="Compact"/>
              <w:jc w:val="left"/>
            </w:pPr>
            <w:r>
              <w:t xml:space="preserve">1,212,500.00</w:t>
            </w:r>
          </w:p>
        </w:tc>
      </w:tr>
      <w:tr>
        <w:tc>
          <w:tcPr/>
          <w:p>
            <w:pPr>
              <w:pStyle w:val="Compact"/>
              <w:jc w:val="left"/>
            </w:pPr>
            <w:r>
              <w:t xml:space="preserve">02</w:t>
            </w:r>
          </w:p>
        </w:tc>
        <w:tc>
          <w:tcPr/>
          <w:p>
            <w:pPr>
              <w:pStyle w:val="Compact"/>
              <w:jc w:val="left"/>
            </w:pPr>
            <w:r>
              <w:t xml:space="preserve">Self-Contained Breathing Apparatus (SCBA) – 30-Minute Duration, Firefighter Grade</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12,400.00</w:t>
            </w:r>
          </w:p>
        </w:tc>
        <w:tc>
          <w:tcPr/>
          <w:p>
            <w:pPr>
              <w:pStyle w:val="Compact"/>
              <w:jc w:val="left"/>
            </w:pPr>
            <w:r>
              <w:t xml:space="preserve">1,488,000.00</w:t>
            </w:r>
          </w:p>
        </w:tc>
      </w:tr>
      <w:tr>
        <w:tc>
          <w:tcPr/>
          <w:p>
            <w:pPr>
              <w:pStyle w:val="Compact"/>
              <w:jc w:val="left"/>
            </w:pPr>
            <w:r>
              <w:t xml:space="preserve">03</w:t>
            </w:r>
          </w:p>
        </w:tc>
        <w:tc>
          <w:tcPr/>
          <w:p>
            <w:pPr>
              <w:pStyle w:val="Compact"/>
              <w:jc w:val="left"/>
            </w:pPr>
            <w:r>
              <w:t xml:space="preserve">Firefighter Thermal Imaging Camera – 640x480 Resolution, IP67 Rated</w:t>
            </w:r>
          </w:p>
        </w:tc>
        <w:tc>
          <w:tcPr/>
          <w:p>
            <w:pPr>
              <w:pStyle w:val="Compact"/>
              <w:jc w:val="left"/>
            </w:pPr>
            <w:r>
              <w:t xml:space="preserve">40</w:t>
            </w:r>
          </w:p>
        </w:tc>
        <w:tc>
          <w:tcPr/>
          <w:p>
            <w:pPr>
              <w:pStyle w:val="Compact"/>
              <w:jc w:val="left"/>
            </w:pPr>
            <w:r>
              <w:t xml:space="preserve">Units</w:t>
            </w:r>
          </w:p>
        </w:tc>
        <w:tc>
          <w:tcPr/>
          <w:p>
            <w:pPr>
              <w:pStyle w:val="Compact"/>
              <w:jc w:val="left"/>
            </w:pPr>
            <w:r>
              <w:t xml:space="preserve">18,750.00</w:t>
            </w:r>
          </w:p>
        </w:tc>
        <w:tc>
          <w:tcPr/>
          <w:p>
            <w:pPr>
              <w:pStyle w:val="Compact"/>
              <w:jc w:val="left"/>
            </w:pPr>
            <w:r>
              <w:t xml:space="preserve">750,000.00</w:t>
            </w:r>
          </w:p>
        </w:tc>
      </w:tr>
      <w:tr>
        <w:tc>
          <w:tcPr/>
          <w:p>
            <w:pPr>
              <w:pStyle w:val="Compact"/>
              <w:jc w:val="left"/>
            </w:pPr>
            <w:r>
              <w:t xml:space="preserve">04</w:t>
            </w:r>
          </w:p>
        </w:tc>
        <w:tc>
          <w:tcPr/>
          <w:p>
            <w:pPr>
              <w:pStyle w:val="Compact"/>
              <w:jc w:val="left"/>
            </w:pPr>
            <w:r>
              <w:t xml:space="preserve">Structural Firefighter Rescue Tool Set (Axe, Halligan Bar, Spreaders, Cutters)</w:t>
            </w:r>
          </w:p>
        </w:tc>
        <w:tc>
          <w:tcPr/>
          <w:p>
            <w:pPr>
              <w:pStyle w:val="Compact"/>
              <w:jc w:val="left"/>
            </w:pPr>
            <w:r>
              <w:t xml:space="preserve">60</w:t>
            </w:r>
          </w:p>
        </w:tc>
        <w:tc>
          <w:tcPr/>
          <w:p>
            <w:pPr>
              <w:pStyle w:val="Compact"/>
              <w:jc w:val="left"/>
            </w:pPr>
            <w:r>
              <w:t xml:space="preserve">Sets</w:t>
            </w:r>
          </w:p>
        </w:tc>
        <w:tc>
          <w:tcPr/>
          <w:p>
            <w:pPr>
              <w:pStyle w:val="Compact"/>
              <w:jc w:val="left"/>
            </w:pPr>
            <w:r>
              <w:t xml:space="preserve">9,200.00</w:t>
            </w:r>
          </w:p>
        </w:tc>
        <w:tc>
          <w:tcPr/>
          <w:p>
            <w:pPr>
              <w:pStyle w:val="Compact"/>
              <w:jc w:val="left"/>
            </w:pPr>
            <w:r>
              <w:t xml:space="preserve">552,000.00</w:t>
            </w:r>
          </w:p>
        </w:tc>
      </w:tr>
      <w:tr>
        <w:tc>
          <w:tcPr/>
          <w:p>
            <w:pPr>
              <w:pStyle w:val="Compact"/>
              <w:jc w:val="left"/>
            </w:pPr>
            <w:r>
              <w:t xml:space="preserve">05</w:t>
            </w:r>
          </w:p>
        </w:tc>
        <w:tc>
          <w:tcPr/>
          <w:p>
            <w:pPr>
              <w:pStyle w:val="Compact"/>
              <w:jc w:val="left"/>
            </w:pPr>
            <w:r>
              <w:t xml:space="preserve">Firefighter Proximity Suit – Aluminized, 1,000°C Heat Resistant</w:t>
            </w:r>
          </w:p>
        </w:tc>
        <w:tc>
          <w:tcPr/>
          <w:p>
            <w:pPr>
              <w:pStyle w:val="Compact"/>
              <w:jc w:val="left"/>
            </w:pPr>
            <w:r>
              <w:t xml:space="preserve">30</w:t>
            </w:r>
          </w:p>
        </w:tc>
        <w:tc>
          <w:tcPr/>
          <w:p>
            <w:pPr>
              <w:pStyle w:val="Compact"/>
              <w:jc w:val="left"/>
            </w:pPr>
            <w:r>
              <w:t xml:space="preserve">Sets</w:t>
            </w:r>
          </w:p>
        </w:tc>
        <w:tc>
          <w:tcPr/>
          <w:p>
            <w:pPr>
              <w:pStyle w:val="Compact"/>
              <w:jc w:val="left"/>
            </w:pPr>
            <w:r>
              <w:t xml:space="preserve">22,300.00</w:t>
            </w:r>
          </w:p>
        </w:tc>
        <w:tc>
          <w:tcPr/>
          <w:p>
            <w:pPr>
              <w:pStyle w:val="Compact"/>
              <w:jc w:val="left"/>
            </w:pPr>
            <w:r>
              <w:t xml:space="preserve">669,000.00</w:t>
            </w:r>
          </w:p>
        </w:tc>
      </w:tr>
      <w:tr>
        <w:tc>
          <w:tcPr/>
          <w:p>
            <w:pPr>
              <w:pStyle w:val="Compact"/>
              <w:jc w:val="left"/>
            </w:pPr>
            <w:r>
              <w:t xml:space="preserve">06</w:t>
            </w:r>
          </w:p>
        </w:tc>
        <w:tc>
          <w:tcPr/>
          <w:p>
            <w:pPr>
              <w:pStyle w:val="Compact"/>
              <w:jc w:val="left"/>
            </w:pPr>
            <w:r>
              <w:t xml:space="preserve">Firefighter Radio Communication System – UHF/VHF Dual-Band, Intrinsically Safe</w:t>
            </w:r>
          </w:p>
        </w:tc>
        <w:tc>
          <w:tcPr/>
          <w:p>
            <w:pPr>
              <w:pStyle w:val="Compact"/>
              <w:jc w:val="left"/>
            </w:pPr>
            <w:r>
              <w:t xml:space="preserve">200</w:t>
            </w:r>
          </w:p>
        </w:tc>
        <w:tc>
          <w:tcPr/>
          <w:p>
            <w:pPr>
              <w:pStyle w:val="Compact"/>
              <w:jc w:val="left"/>
            </w:pPr>
            <w:r>
              <w:t xml:space="preserve">Units</w:t>
            </w:r>
          </w:p>
        </w:tc>
        <w:tc>
          <w:tcPr/>
          <w:p>
            <w:pPr>
              <w:pStyle w:val="Compact"/>
              <w:jc w:val="left"/>
            </w:pPr>
            <w:r>
              <w:t xml:space="preserve">3,650.00</w:t>
            </w:r>
          </w:p>
        </w:tc>
        <w:tc>
          <w:tcPr/>
          <w:p>
            <w:pPr>
              <w:pStyle w:val="Compact"/>
              <w:jc w:val="left"/>
            </w:pPr>
            <w:r>
              <w:t xml:space="preserve">730,000.00</w:t>
            </w:r>
          </w:p>
        </w:tc>
      </w:tr>
      <w:tr>
        <w:tc>
          <w:tcPr/>
          <w:p>
            <w:pPr>
              <w:pStyle w:val="Compact"/>
              <w:jc w:val="left"/>
            </w:pPr>
            <w:r>
              <w:t xml:space="preserve">07</w:t>
            </w:r>
          </w:p>
        </w:tc>
        <w:tc>
          <w:tcPr/>
          <w:p>
            <w:pPr>
              <w:pStyle w:val="Compact"/>
              <w:jc w:val="left"/>
            </w:pPr>
            <w:r>
              <w:t xml:space="preserve">Firefighter Safety Harness – Full Body, 220 kg Load Rating, with D-Rings</w:t>
            </w:r>
          </w:p>
        </w:tc>
        <w:tc>
          <w:tcPr/>
          <w:p>
            <w:pPr>
              <w:pStyle w:val="Compact"/>
              <w:jc w:val="left"/>
            </w:pPr>
            <w:r>
              <w:t xml:space="preserve">150</w:t>
            </w:r>
          </w:p>
        </w:tc>
        <w:tc>
          <w:tcPr/>
          <w:p>
            <w:pPr>
              <w:pStyle w:val="Compact"/>
              <w:jc w:val="left"/>
            </w:pPr>
            <w:r>
              <w:t xml:space="preserve">Units</w:t>
            </w:r>
          </w:p>
        </w:tc>
        <w:tc>
          <w:tcPr/>
          <w:p>
            <w:pPr>
              <w:pStyle w:val="Compact"/>
              <w:jc w:val="left"/>
            </w:pPr>
            <w:r>
              <w:t xml:space="preserve">2,100.00</w:t>
            </w:r>
          </w:p>
        </w:tc>
        <w:tc>
          <w:tcPr/>
          <w:p>
            <w:pPr>
              <w:pStyle w:val="Compact"/>
              <w:jc w:val="left"/>
            </w:pPr>
            <w:r>
              <w:t xml:space="preserve">315,000.00</w:t>
            </w:r>
          </w:p>
        </w:tc>
      </w:tr>
      <w:tr>
        <w:tc>
          <w:tcPr/>
          <w:p>
            <w:pPr>
              <w:pStyle w:val="Compact"/>
              <w:jc w:val="left"/>
            </w:pPr>
            <w:r>
              <w:t xml:space="preserve">08</w:t>
            </w:r>
          </w:p>
        </w:tc>
        <w:tc>
          <w:tcPr/>
          <w:p>
            <w:pPr>
              <w:pStyle w:val="Compact"/>
              <w:jc w:val="left"/>
            </w:pPr>
            <w:r>
              <w:t xml:space="preserve">Firefighter Eye and Face Protection – Polycarbonate Shield, Anti-Fog Coating</w:t>
            </w:r>
          </w:p>
        </w:tc>
        <w:tc>
          <w:tcPr/>
          <w:p>
            <w:pPr>
              <w:pStyle w:val="Compact"/>
              <w:jc w:val="left"/>
            </w:pPr>
            <w:r>
              <w:t xml:space="preserve">250</w:t>
            </w:r>
          </w:p>
        </w:tc>
        <w:tc>
          <w:tcPr/>
          <w:p>
            <w:pPr>
              <w:pStyle w:val="Compact"/>
              <w:jc w:val="left"/>
            </w:pPr>
            <w:r>
              <w:t xml:space="preserve">Units</w:t>
            </w:r>
          </w:p>
        </w:tc>
        <w:tc>
          <w:tcPr/>
          <w:p>
            <w:pPr>
              <w:pStyle w:val="Compact"/>
              <w:jc w:val="left"/>
            </w:pPr>
            <w:r>
              <w:t xml:space="preserve">480.00</w:t>
            </w:r>
          </w:p>
        </w:tc>
        <w:tc>
          <w:tcPr/>
          <w:p>
            <w:pPr>
              <w:pStyle w:val="Compact"/>
              <w:jc w:val="left"/>
            </w:pPr>
            <w:r>
              <w:t xml:space="preserve">120,000.00</w:t>
            </w:r>
          </w:p>
        </w:tc>
      </w:tr>
      <w:tr>
        <w:tc>
          <w:tcPr/>
          <w:p>
            <w:pPr>
              <w:pStyle w:val="Compact"/>
              <w:jc w:val="left"/>
            </w:pPr>
            <w:r>
              <w:t xml:space="preserve">09</w:t>
            </w:r>
          </w:p>
        </w:tc>
        <w:tc>
          <w:tcPr/>
          <w:p>
            <w:pPr>
              <w:pStyle w:val="Compact"/>
              <w:jc w:val="left"/>
            </w:pPr>
            <w:r>
              <w:t xml:space="preserve">Firefighter Training Mannequin – Full-Size, Heat-Resistant, with Injury Simulation</w:t>
            </w:r>
          </w:p>
        </w:tc>
        <w:tc>
          <w:tcPr/>
          <w:p>
            <w:pPr>
              <w:pStyle w:val="Compact"/>
              <w:jc w:val="left"/>
            </w:pPr>
            <w:r>
              <w:t xml:space="preserve">10</w:t>
            </w:r>
          </w:p>
        </w:tc>
        <w:tc>
          <w:tcPr/>
          <w:p>
            <w:pPr>
              <w:pStyle w:val="Compact"/>
              <w:jc w:val="left"/>
            </w:pPr>
            <w:r>
              <w:t xml:space="preserve">Units</w:t>
            </w:r>
          </w:p>
        </w:tc>
        <w:tc>
          <w:tcPr/>
          <w:p>
            <w:pPr>
              <w:pStyle w:val="Compact"/>
              <w:jc w:val="left"/>
            </w:pPr>
            <w:r>
              <w:t xml:space="preserve">35,000.00</w:t>
            </w:r>
          </w:p>
        </w:tc>
        <w:tc>
          <w:tcPr/>
          <w:p>
            <w:pPr>
              <w:pStyle w:val="Compact"/>
              <w:jc w:val="left"/>
            </w:pPr>
            <w:r>
              <w:t xml:space="preserve">350,000.00</w:t>
            </w:r>
          </w:p>
        </w:tc>
      </w:tr>
      <w:tr>
        <w:tc>
          <w:tcPr/>
          <w:p>
            <w:pPr>
              <w:pStyle w:val="Compact"/>
              <w:jc w:val="left"/>
            </w:pPr>
            <w:r>
              <w:t xml:space="preserve">10</w:t>
            </w:r>
          </w:p>
        </w:tc>
        <w:tc>
          <w:tcPr/>
          <w:p>
            <w:pPr>
              <w:pStyle w:val="Compact"/>
              <w:jc w:val="left"/>
            </w:pPr>
            <w:r>
              <w:t xml:space="preserve">Firefighter Decontamination Shower Unit – Portable, 200L Capacity</w:t>
            </w:r>
          </w:p>
        </w:tc>
        <w:tc>
          <w:tcPr/>
          <w:p>
            <w:pPr>
              <w:pStyle w:val="Compact"/>
              <w:jc w:val="left"/>
            </w:pPr>
            <w:r>
              <w:t xml:space="preserve">15</w:t>
            </w:r>
          </w:p>
        </w:tc>
        <w:tc>
          <w:tcPr/>
          <w:p>
            <w:pPr>
              <w:pStyle w:val="Compact"/>
              <w:jc w:val="left"/>
            </w:pPr>
            <w:r>
              <w:t xml:space="preserve">Units</w:t>
            </w:r>
          </w:p>
        </w:tc>
        <w:tc>
          <w:tcPr/>
          <w:p>
            <w:pPr>
              <w:pStyle w:val="Compact"/>
              <w:jc w:val="left"/>
            </w:pPr>
            <w:r>
              <w:t xml:space="preserve">14,500.00</w:t>
            </w:r>
          </w:p>
        </w:tc>
        <w:tc>
          <w:tcPr/>
          <w:p>
            <w:pPr>
              <w:pStyle w:val="Compact"/>
              <w:jc w:val="left"/>
            </w:pPr>
            <w:r>
              <w:t xml:space="preserve">217,500.00</w:t>
            </w:r>
          </w:p>
        </w:tc>
      </w:tr>
      <w:tr>
        <w:tc>
          <w:tcPr>
            <w:gridSpan w:val="5"/>
          </w:tcPr>
          <w:p>
            <w:pPr>
              <w:pStyle w:val="Compact"/>
              <w:jc w:val="left"/>
            </w:pPr>
            <w:r>
              <w:rPr>
                <w:bCs/>
                <w:b/>
              </w:rPr>
              <w:t xml:space="preserve">Subtotal</w:t>
            </w:r>
          </w:p>
        </w:tc>
        <w:tc>
          <w:tcPr/>
          <w:p>
            <w:pPr>
              <w:pStyle w:val="Compact"/>
              <w:jc w:val="left"/>
            </w:pPr>
            <w:r>
              <w:rPr>
                <w:bCs/>
                <w:b/>
              </w:rPr>
              <w:t xml:space="preserve">6,404,000.00</w:t>
            </w:r>
          </w:p>
        </w:tc>
      </w:tr>
      <w:tr>
        <w:tc>
          <w:tcPr>
            <w:gridSpan w:val="5"/>
          </w:tcPr>
          <w:p>
            <w:pPr>
              <w:pStyle w:val="Compact"/>
              <w:jc w:val="left"/>
            </w:pPr>
            <w:r>
              <w:rPr>
                <w:bCs/>
                <w:b/>
              </w:rPr>
              <w:t xml:space="preserve">VAT (15%)</w:t>
            </w:r>
          </w:p>
        </w:tc>
        <w:tc>
          <w:tcPr/>
          <w:p>
            <w:pPr>
              <w:pStyle w:val="Compact"/>
              <w:jc w:val="left"/>
            </w:pPr>
            <w:r>
              <w:rPr>
                <w:bCs/>
                <w:b/>
              </w:rPr>
              <w:t xml:space="preserve">960,600.00</w:t>
            </w:r>
          </w:p>
        </w:tc>
      </w:tr>
      <w:tr>
        <w:tc>
          <w:tcPr>
            <w:gridSpan w:val="5"/>
          </w:tcPr>
          <w:p>
            <w:pPr>
              <w:pStyle w:val="Compact"/>
              <w:jc w:val="left"/>
            </w:pPr>
            <w:r>
              <w:rPr>
                <w:bCs/>
                <w:b/>
              </w:rPr>
              <w:t xml:space="preserve">GRAND TOTAL (SAR)</w:t>
            </w:r>
          </w:p>
        </w:tc>
        <w:tc>
          <w:tcPr/>
          <w:p>
            <w:pPr>
              <w:pStyle w:val="Compact"/>
              <w:jc w:val="left"/>
            </w:pPr>
            <w:r>
              <w:rPr>
                <w:bCs/>
                <w:b/>
              </w:rPr>
              <w:t xml:space="preserve">7,364,600.00</w:t>
            </w:r>
          </w:p>
        </w:tc>
      </w:tr>
    </w:tbl>
    <w:bookmarkEnd w:id="22"/>
    <w:bookmarkStart w:id="23" w:name="delivery-and-installation-terms"/>
    <w:p>
      <w:pPr>
        <w:pStyle w:val="Heading2"/>
      </w:pPr>
      <w:r>
        <w:t xml:space="preserve">4. Delivery and Installation Terms</w:t>
      </w:r>
    </w:p>
    <w:p>
      <w:pPr>
        <w:pStyle w:val="FirstParagraph"/>
      </w:pPr>
      <w:r>
        <w:t xml:space="preserve">All Firefighter equipment listed in this Purchase Order shall be delivered to the designated fire stations within Saudi Arabia Jeddah no later than</w:t>
      </w:r>
      <w:r>
        <w:t xml:space="preserve"> </w:t>
      </w:r>
      <w:r>
        <w:rPr>
          <w:bCs/>
          <w:b/>
        </w:rPr>
        <w:t xml:space="preserve">30 July 2025</w:t>
      </w:r>
      <w:r>
        <w:t xml:space="preserve">. The supplier is responsible for all logistics, customs clearance (if any imported components are involved), and final delivery to the following locations: (a) Jeddah Coastal Fire Station, Corniche Road; (b) Al Balad Fire Station, Prince Sultan Road; and (c) Jeddah International Airport Fire Brigade, King Abdulaziz International Airport. Installation, calibration, and a minimum of 48-hour on-site Firefighter training session for each equipment category shall be conducted by certified supplier technicians at no additional cost.</w:t>
      </w:r>
    </w:p>
    <w:bookmarkEnd w:id="23"/>
    <w:bookmarkStart w:id="24" w:name="payment-terms"/>
    <w:p>
      <w:pPr>
        <w:pStyle w:val="Heading2"/>
      </w:pPr>
      <w:r>
        <w:t xml:space="preserve">5. Payment Terms</w:t>
      </w:r>
    </w:p>
    <w:p>
      <w:pPr>
        <w:pStyle w:val="FirstParagraph"/>
      </w:pPr>
      <w:r>
        <w:t xml:space="preserve">Payment shall be made in accordance with the following schedule: 30% advance payment upon acceptance of this Purchase Order; 50% upon confirmed delivery and successful inspection at the Saudi Arabia Jeddah delivery sites; and the remaining 20% upon completion of the Firefighter training program and issuance of the final acceptance certificate. All payments shall be processed via bank transfer to the supplier's designated account in Saudi Riyals (SAR). The supplier must provide a valid tax invoice compliant with the Zakat and Tax Authority (ZATCA) e-invoicing requirements.</w:t>
      </w:r>
    </w:p>
    <w:bookmarkEnd w:id="24"/>
    <w:bookmarkStart w:id="25" w:name="quality-assurance-and-compliance"/>
    <w:p>
      <w:pPr>
        <w:pStyle w:val="Heading2"/>
      </w:pPr>
      <w:r>
        <w:t xml:space="preserve">6. Quality Assurance and Compliance</w:t>
      </w:r>
    </w:p>
    <w:p>
      <w:pPr>
        <w:pStyle w:val="FirstParagraph"/>
      </w:pPr>
      <w:r>
        <w:t xml:space="preserve">All Firefighter equipment must carry valid SASO conformity certificates and comply with the applicable Saudi Arabian Standards. The supplier warrants that all items are new, unused, and free from defects for a minimum period of three (3) years from the date of acceptance. Any Firefighter gear found to be non-compliant during the inspection phase in Jeddah shall be replaced at the supplier's sole expense within fourteen (14) calendar days. The supplier shall provide full documentation, including material safety data sheets (MSDS), test reports, and warranty certificates, in both Arabic and English.</w:t>
      </w:r>
    </w:p>
    <w:bookmarkEnd w:id="25"/>
    <w:bookmarkStart w:id="26" w:name="general-conditions"/>
    <w:p>
      <w:pPr>
        <w:pStyle w:val="Heading2"/>
      </w:pPr>
      <w:r>
        <w:t xml:space="preserve">7. General Conditions</w:t>
      </w:r>
    </w:p>
    <w:p>
      <w:pPr>
        <w:pStyle w:val="FirstParagraph"/>
      </w:pPr>
      <w:r>
        <w:t xml:space="preserve">This Purchase Order is governed by the laws of the Kingdom of Saudi Arabia. Any disputes arising from this Purchase Order shall be resolved through the competent courts in Jeddah, Saudi Arabia. The supplier acknowledges that the Firefighter equipment procured under this order is intended for life-safety operations and accepts full liability for any failure of equipment that results in injury or loss of life. The buyer reserves the right to inspect the manufacturing facility and to conduct random quality audits at any time during the production and delivery phases.</w:t>
      </w:r>
    </w:p>
    <w:bookmarkEnd w:id="26"/>
    <w:bookmarkStart w:id="27" w:name="authorization-and-signatures"/>
    <w:p>
      <w:pPr>
        <w:pStyle w:val="Heading2"/>
      </w:pPr>
      <w:r>
        <w:t xml:space="preserve">8. Authorization and Signatures</w:t>
      </w:r>
    </w:p>
    <w:p>
      <w:pPr>
        <w:pStyle w:val="FirstParagraph"/>
      </w:pPr>
      <w:r>
        <w:rPr>
          <w:bCs/>
          <w:b/>
        </w:rPr>
        <w:t xml:space="preserve">For the Buyer – Jeddah Civil Defense Directorate</w:t>
      </w:r>
      <w:r>
        <w:br/>
      </w:r>
      <w:r>
        <w:br/>
      </w:r>
      <w:r>
        <w:t xml:space="preserve">Name: Maj. Gen. Abdullah Al-Otaibi</w:t>
      </w:r>
      <w:r>
        <w:br/>
      </w:r>
      <w:r>
        <w:t xml:space="preserve">Title: Director of Procurement &amp; Logistics</w:t>
      </w:r>
      <w:r>
        <w:br/>
      </w:r>
      <w:r>
        <w:t xml:space="preserve">Signature: _________________________</w:t>
      </w:r>
      <w:r>
        <w:br/>
      </w:r>
      <w:r>
        <w:t xml:space="preserve">Date: _________________________</w:t>
      </w:r>
      <w:r>
        <w:br/>
      </w:r>
      <w:r>
        <w:t xml:space="preserve">Official Stamp:</w:t>
      </w:r>
    </w:p>
    <w:p>
      <w:pPr>
        <w:pStyle w:val="BodyText"/>
      </w:pPr>
      <w:r>
        <w:rPr>
          <w:bCs/>
          <w:b/>
        </w:rPr>
        <w:t xml:space="preserve">For the Supplier – Gulf Safety &amp; Fire Protection Industries LLC</w:t>
      </w:r>
      <w:r>
        <w:br/>
      </w:r>
      <w:r>
        <w:br/>
      </w:r>
      <w:r>
        <w:t xml:space="preserve">Name: Eng. Khalid Al-Rashidi</w:t>
      </w:r>
      <w:r>
        <w:br/>
      </w:r>
      <w:r>
        <w:t xml:space="preserve">Title: Procurement Manager</w:t>
      </w:r>
      <w:r>
        <w:br/>
      </w:r>
      <w:r>
        <w:t xml:space="preserve">Signature: _________________________</w:t>
      </w:r>
      <w:r>
        <w:br/>
      </w:r>
      <w:r>
        <w:t xml:space="preserve">Date: _________________________</w:t>
      </w:r>
      <w:r>
        <w:br/>
      </w:r>
      <w:r>
        <w:t xml:space="preserve">Company Stamp:</w:t>
      </w:r>
    </w:p>
    <w:p>
      <w:pPr>
        <w:pStyle w:val="BodyText"/>
      </w:pPr>
      <w:r>
        <w:t xml:space="preserve">This Purchase Order document is confidential and intended solely for the parties named herein. Unauthorized reproduction or distribution is prohibited. Document Reference: PO-JED-FF-2025-04872 | Issued in Saudi Arabia Jeddah | Page 1 of 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Saudi Arabia Jeddah</dc:title>
  <dc:creator/>
  <dc:language>en</dc:language>
  <cp:keywords/>
  <dcterms:created xsi:type="dcterms:W3CDTF">2026-10-10T04:07:23Z</dcterms:created>
  <dcterms:modified xsi:type="dcterms:W3CDTF">2026-10-10T04:07:23Z</dcterms:modified>
</cp:coreProperties>
</file>

<file path=docProps/custom.xml><?xml version="1.0" encoding="utf-8"?>
<Properties xmlns="http://schemas.openxmlformats.org/officeDocument/2006/custom-properties" xmlns:vt="http://schemas.openxmlformats.org/officeDocument/2006/docPropsVTypes"/>
</file>