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X41e15bc1d58386805b6806e81f105f5a8d965e5"/>
    <w:p>
      <w:pPr>
        <w:pStyle w:val="Heading1"/>
      </w:pPr>
      <w:r>
        <w:t xml:space="preserve">RIYADH METROPOLITAN FIRE &amp; RESCUE AUTHORITY</w:t>
      </w:r>
    </w:p>
    <w:p>
      <w:pPr>
        <w:pStyle w:val="FirstParagraph"/>
      </w:pPr>
      <w:r>
        <w:t xml:space="preserve">Ministry of Interior — General Directorate of Civil Defense</w:t>
      </w:r>
    </w:p>
    <w:p>
      <w:pPr>
        <w:pStyle w:val="BodyText"/>
      </w:pPr>
      <w:r>
        <w:t xml:space="preserve">King Fahd Road, Al Olaya District, Riyadh 12214, Saudi Arabia</w:t>
      </w:r>
    </w:p>
    <w:p>
      <w:pPr>
        <w:pStyle w:val="BodyText"/>
      </w:pPr>
      <w:r>
        <w:t xml:space="preserve">Tel: +966-11-470-2200 | Email: procurement@rmfra.gov.sa</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PO-RMR-2025-04871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15 August 2025</w:t>
      </w:r>
    </w:p>
    <w:p>
      <w:pPr>
        <w:pStyle w:val="BodyText"/>
      </w:pPr>
      <w:r>
        <w:rPr>
          <w:bCs/>
          <w:b/>
        </w:rPr>
        <w:t xml:space="preserve">Project Reference:</w:t>
      </w:r>
      <w:r>
        <w:t xml:space="preserve"> </w:t>
      </w:r>
      <w:r>
        <w:t xml:space="preserve">Firefighter Readiness Enhancement Program 2025</w:t>
      </w:r>
    </w:p>
    <w:p>
      <w:pPr>
        <w:pStyle w:val="BodyText"/>
      </w:pPr>
      <w:r>
        <w:rPr>
          <w:bCs/>
          <w:b/>
        </w:rPr>
        <w:t xml:space="preserve">Valid Until:</w:t>
      </w:r>
      <w:r>
        <w:t xml:space="preserve"> </w:t>
      </w:r>
      <w:r>
        <w:t xml:space="preserve">14 September 2025</w:t>
      </w:r>
    </w:p>
    <w:bookmarkEnd w:id="21"/>
    <w:bookmarkStart w:id="22" w:name="supplier-information"/>
    <w:p>
      <w:pPr>
        <w:pStyle w:val="Heading3"/>
      </w:pPr>
      <w:r>
        <w:t xml:space="preserve">Supplier Information</w:t>
      </w:r>
    </w:p>
    <w:p>
      <w:pPr>
        <w:pStyle w:val="FirstParagraph"/>
      </w:pPr>
      <w:r>
        <w:rPr>
          <w:bCs/>
          <w:b/>
        </w:rPr>
        <w:t xml:space="preserve">Supplier Name:</w:t>
      </w:r>
      <w:r>
        <w:t xml:space="preserve"> </w:t>
      </w:r>
      <w:r>
        <w:t xml:space="preserve">Gulf Safety &amp; Fire Protection Industries LLC</w:t>
      </w:r>
    </w:p>
    <w:p>
      <w:pPr>
        <w:pStyle w:val="BodyText"/>
      </w:pPr>
      <w:r>
        <w:rPr>
          <w:bCs/>
          <w:b/>
        </w:rPr>
        <w:t xml:space="preserve">Address:</w:t>
      </w:r>
      <w:r>
        <w:t xml:space="preserve"> </w:t>
      </w:r>
      <w:r>
        <w:t xml:space="preserve">Industrial City, Riyadh 13332, Saudi Arabia</w:t>
      </w:r>
    </w:p>
    <w:p>
      <w:pPr>
        <w:pStyle w:val="BodyText"/>
      </w:pPr>
      <w:r>
        <w:rPr>
          <w:bCs/>
          <w:b/>
        </w:rPr>
        <w:t xml:space="preserve">CR Number:</w:t>
      </w:r>
      <w:r>
        <w:t xml:space="preserve"> </w:t>
      </w:r>
      <w:r>
        <w:t xml:space="preserve">1010456789</w:t>
      </w:r>
    </w:p>
    <w:p>
      <w:pPr>
        <w:pStyle w:val="BodyText"/>
      </w:pPr>
      <w:r>
        <w:rPr>
          <w:bCs/>
          <w:b/>
        </w:rPr>
        <w:t xml:space="preserve">VAT Number:</w:t>
      </w:r>
      <w:r>
        <w:t xml:space="preserve"> </w:t>
      </w:r>
      <w:r>
        <w:t xml:space="preserve">310123456700003</w:t>
      </w:r>
    </w:p>
    <w:p>
      <w:pPr>
        <w:pStyle w:val="BodyText"/>
      </w:pPr>
      <w:r>
        <w:rPr>
          <w:bCs/>
          <w:b/>
        </w:rPr>
        <w:t xml:space="preserve">Contact:</w:t>
      </w:r>
      <w:r>
        <w:t xml:space="preserve"> </w:t>
      </w:r>
      <w:r>
        <w:t xml:space="preserve">Mr. Khalid Al-Rashidi — +966-55-876-4321</w:t>
      </w:r>
    </w:p>
    <w:bookmarkEnd w:id="22"/>
    <w:bookmarkStart w:id="23" w:name="buyer-receiving-department"/>
    <w:p>
      <w:pPr>
        <w:pStyle w:val="Heading3"/>
      </w:pPr>
      <w:r>
        <w:t xml:space="preserve">Buyer / Receiving Department</w:t>
      </w:r>
    </w:p>
    <w:p>
      <w:pPr>
        <w:pStyle w:val="FirstParagraph"/>
      </w:pPr>
      <w:r>
        <w:rPr>
          <w:bCs/>
          <w:b/>
        </w:rPr>
        <w:t xml:space="preserve">Department:</w:t>
      </w:r>
      <w:r>
        <w:t xml:space="preserve"> </w:t>
      </w:r>
      <w:r>
        <w:t xml:space="preserve">Firefighter Operations &amp; Equipment Division</w:t>
      </w:r>
    </w:p>
    <w:p>
      <w:pPr>
        <w:pStyle w:val="BodyText"/>
      </w:pPr>
      <w:r>
        <w:rPr>
          <w:bCs/>
          <w:b/>
        </w:rPr>
        <w:t xml:space="preserve">Location:</w:t>
      </w:r>
      <w:r>
        <w:t xml:space="preserve"> </w:t>
      </w:r>
      <w:r>
        <w:t xml:space="preserve">Riyadh Central Fire Station, Al Malqa, Saudi Arabia Riyadh</w:t>
      </w:r>
    </w:p>
    <w:p>
      <w:pPr>
        <w:pStyle w:val="BodyText"/>
      </w:pPr>
      <w:r>
        <w:rPr>
          <w:bCs/>
          <w:b/>
        </w:rPr>
        <w:t xml:space="preserve">Authorized Officer:</w:t>
      </w:r>
      <w:r>
        <w:t xml:space="preserve"> </w:t>
      </w:r>
      <w:r>
        <w:t xml:space="preserve">Lt. Col. Faisal Al-Otaibi</w:t>
      </w:r>
    </w:p>
    <w:p>
      <w:pPr>
        <w:pStyle w:val="BodyText"/>
      </w:pPr>
      <w:r>
        <w:rPr>
          <w:bCs/>
          <w:b/>
        </w:rPr>
        <w:t xml:space="preserve">Receiving Contact:</w:t>
      </w:r>
      <w:r>
        <w:t xml:space="preserve"> </w:t>
      </w:r>
      <w:r>
        <w:t xml:space="preserve">+966-11-470-2255</w:t>
      </w:r>
    </w:p>
    <w:bookmarkEnd w:id="23"/>
    <w:bookmarkStart w:id="24" w:name="payment-terms"/>
    <w:p>
      <w:pPr>
        <w:pStyle w:val="Heading3"/>
      </w:pPr>
      <w:r>
        <w:t xml:space="preserve">Payment Terms</w:t>
      </w:r>
    </w:p>
    <w:p>
      <w:pPr>
        <w:pStyle w:val="FirstParagraph"/>
      </w:pPr>
      <w:r>
        <w:rPr>
          <w:bCs/>
          <w:b/>
        </w:rPr>
        <w:t xml:space="preserve">Payment Method:</w:t>
      </w:r>
      <w:r>
        <w:t xml:space="preserve"> </w:t>
      </w:r>
      <w:r>
        <w:t xml:space="preserve">Bank Transfer (SAR)</w:t>
      </w:r>
    </w:p>
    <w:p>
      <w:pPr>
        <w:pStyle w:val="BodyText"/>
      </w:pPr>
      <w:r>
        <w:rPr>
          <w:bCs/>
          <w:b/>
        </w:rPr>
        <w:t xml:space="preserve">Terms:</w:t>
      </w:r>
      <w:r>
        <w:t xml:space="preserve"> </w:t>
      </w:r>
      <w:r>
        <w:t xml:space="preserve">60 days from invoice acceptance</w:t>
      </w:r>
    </w:p>
    <w:p>
      <w:pPr>
        <w:pStyle w:val="BodyText"/>
      </w:pPr>
      <w:r>
        <w:rPr>
          <w:bCs/>
          <w:b/>
        </w:rPr>
        <w:t xml:space="preserve">Bank:</w:t>
      </w:r>
      <w:r>
        <w:t xml:space="preserve"> </w:t>
      </w:r>
      <w:r>
        <w:t xml:space="preserve">Saudi National Bank</w:t>
      </w:r>
    </w:p>
    <w:p>
      <w:pPr>
        <w:pStyle w:val="BodyText"/>
      </w:pPr>
      <w:r>
        <w:rPr>
          <w:bCs/>
          <w:b/>
        </w:rPr>
        <w:t xml:space="preserve">IBAN:</w:t>
      </w:r>
      <w:r>
        <w:t xml:space="preserve"> </w:t>
      </w:r>
      <w:r>
        <w:t xml:space="preserve">SA03 8000 0000 6080 1016 7519</w:t>
      </w:r>
    </w:p>
    <w:p>
      <w:pPr>
        <w:pStyle w:val="BodyText"/>
      </w:pPr>
      <w:r>
        <w:rPr>
          <w:bCs/>
          <w:b/>
        </w:rPr>
        <w:t xml:space="preserve">SWIFT:</w:t>
      </w:r>
      <w:r>
        <w:t xml:space="preserve"> </w:t>
      </w:r>
      <w:r>
        <w:t xml:space="preserve">SNBLSARI</w:t>
      </w:r>
    </w:p>
    <w:bookmarkEnd w:id="24"/>
    <w:bookmarkStart w:id="25" w:name="Xde30baffd6ada7943d616e9aca285bbe1027599"/>
    <w:p>
      <w:pPr>
        <w:pStyle w:val="Heading2"/>
      </w:pPr>
      <w:r>
        <w:t xml:space="preserve">Line Items — Firefighter Equipment and Supplies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Firefighter Structural Turnout Gear (Full Set)</w:t>
            </w:r>
          </w:p>
        </w:tc>
        <w:tc>
          <w:tcPr/>
          <w:p>
            <w:pPr>
              <w:pStyle w:val="Compact"/>
              <w:jc w:val="left"/>
            </w:pPr>
            <w:r>
              <w:t xml:space="preserve">NFPA 1971 compliant, heat-resistant, Saudi Arabia Riyadh climate-rated</w:t>
            </w:r>
          </w:p>
        </w:tc>
        <w:tc>
          <w:tcPr/>
          <w:p>
            <w:pPr>
              <w:pStyle w:val="Compact"/>
              <w:jc w:val="left"/>
            </w:pPr>
            <w:r>
              <w:t xml:space="preserve">250</w:t>
            </w:r>
          </w:p>
        </w:tc>
        <w:tc>
          <w:tcPr/>
          <w:p>
            <w:pPr>
              <w:pStyle w:val="Compact"/>
              <w:jc w:val="left"/>
            </w:pPr>
            <w:r>
              <w:t xml:space="preserve">4,850.00</w:t>
            </w:r>
          </w:p>
        </w:tc>
        <w:tc>
          <w:tcPr/>
          <w:p>
            <w:pPr>
              <w:pStyle w:val="Compact"/>
              <w:jc w:val="left"/>
            </w:pPr>
            <w:r>
              <w:t xml:space="preserve">1,212,500.00</w:t>
            </w:r>
          </w:p>
        </w:tc>
      </w:tr>
      <w:tr>
        <w:tc>
          <w:tcPr/>
          <w:p>
            <w:pPr>
              <w:pStyle w:val="Compact"/>
              <w:jc w:val="left"/>
            </w:pPr>
            <w:r>
              <w:t xml:space="preserve">02</w:t>
            </w:r>
          </w:p>
        </w:tc>
        <w:tc>
          <w:tcPr/>
          <w:p>
            <w:pPr>
              <w:pStyle w:val="Compact"/>
              <w:jc w:val="left"/>
            </w:pPr>
            <w:r>
              <w:t xml:space="preserve">Firefighter Self-Contained Breathing Apparatus (SCBA)</w:t>
            </w:r>
          </w:p>
        </w:tc>
        <w:tc>
          <w:tcPr/>
          <w:p>
            <w:pPr>
              <w:pStyle w:val="Compact"/>
              <w:jc w:val="left"/>
            </w:pPr>
            <w:r>
              <w:t xml:space="preserve">30-min cylinder, EN 137 / NFPA 1981, with digital gauge</w:t>
            </w:r>
          </w:p>
        </w:tc>
        <w:tc>
          <w:tcPr/>
          <w:p>
            <w:pPr>
              <w:pStyle w:val="Compact"/>
              <w:jc w:val="left"/>
            </w:pPr>
            <w:r>
              <w:t xml:space="preserve">250</w:t>
            </w:r>
          </w:p>
        </w:tc>
        <w:tc>
          <w:tcPr/>
          <w:p>
            <w:pPr>
              <w:pStyle w:val="Compact"/>
              <w:jc w:val="left"/>
            </w:pPr>
            <w:r>
              <w:t xml:space="preserve">6,200.00</w:t>
            </w:r>
          </w:p>
        </w:tc>
        <w:tc>
          <w:tcPr/>
          <w:p>
            <w:pPr>
              <w:pStyle w:val="Compact"/>
              <w:jc w:val="left"/>
            </w:pPr>
            <w:r>
              <w:t xml:space="preserve">1,550,000.00</w:t>
            </w:r>
          </w:p>
        </w:tc>
      </w:tr>
      <w:tr>
        <w:tc>
          <w:tcPr/>
          <w:p>
            <w:pPr>
              <w:pStyle w:val="Compact"/>
              <w:jc w:val="left"/>
            </w:pPr>
            <w:r>
              <w:t xml:space="preserve">03</w:t>
            </w:r>
          </w:p>
        </w:tc>
        <w:tc>
          <w:tcPr/>
          <w:p>
            <w:pPr>
              <w:pStyle w:val="Compact"/>
              <w:jc w:val="left"/>
            </w:pPr>
            <w:r>
              <w:t xml:space="preserve">Firefighter Helmet with Visor and Neck Protector</w:t>
            </w:r>
          </w:p>
        </w:tc>
        <w:tc>
          <w:tcPr/>
          <w:p>
            <w:pPr>
              <w:pStyle w:val="Compact"/>
              <w:jc w:val="left"/>
            </w:pPr>
            <w:r>
              <w:t xml:space="preserve">NFPA 1971, high-visibility, Arabic and English labeling</w:t>
            </w:r>
          </w:p>
        </w:tc>
        <w:tc>
          <w:tcPr/>
          <w:p>
            <w:pPr>
              <w:pStyle w:val="Compact"/>
              <w:jc w:val="left"/>
            </w:pPr>
            <w:r>
              <w:t xml:space="preserve">250</w:t>
            </w:r>
          </w:p>
        </w:tc>
        <w:tc>
          <w:tcPr/>
          <w:p>
            <w:pPr>
              <w:pStyle w:val="Compact"/>
              <w:jc w:val="left"/>
            </w:pPr>
            <w:r>
              <w:t xml:space="preserve">1,150.00</w:t>
            </w:r>
          </w:p>
        </w:tc>
        <w:tc>
          <w:tcPr/>
          <w:p>
            <w:pPr>
              <w:pStyle w:val="Compact"/>
              <w:jc w:val="left"/>
            </w:pPr>
            <w:r>
              <w:t xml:space="preserve">287,500.00</w:t>
            </w:r>
          </w:p>
        </w:tc>
      </w:tr>
      <w:tr>
        <w:tc>
          <w:tcPr/>
          <w:p>
            <w:pPr>
              <w:pStyle w:val="Compact"/>
              <w:jc w:val="left"/>
            </w:pPr>
            <w:r>
              <w:t xml:space="preserve">04</w:t>
            </w:r>
          </w:p>
        </w:tc>
        <w:tc>
          <w:tcPr/>
          <w:p>
            <w:pPr>
              <w:pStyle w:val="Compact"/>
              <w:jc w:val="left"/>
            </w:pPr>
            <w:r>
              <w:t xml:space="preserve">Firefighter Thermal Imaging Camera</w:t>
            </w:r>
          </w:p>
        </w:tc>
        <w:tc>
          <w:tcPr/>
          <w:p>
            <w:pPr>
              <w:pStyle w:val="Compact"/>
              <w:jc w:val="left"/>
            </w:pPr>
            <w:r>
              <w:t xml:space="preserve">640x480 resolution, 320-hour battery, IP67 rated</w:t>
            </w:r>
          </w:p>
        </w:tc>
        <w:tc>
          <w:tcPr/>
          <w:p>
            <w:pPr>
              <w:pStyle w:val="Compact"/>
              <w:jc w:val="left"/>
            </w:pPr>
            <w:r>
              <w:t xml:space="preserve">40</w:t>
            </w:r>
          </w:p>
        </w:tc>
        <w:tc>
          <w:tcPr/>
          <w:p>
            <w:pPr>
              <w:pStyle w:val="Compact"/>
              <w:jc w:val="left"/>
            </w:pPr>
            <w:r>
              <w:t xml:space="preserve">18,500.00</w:t>
            </w:r>
          </w:p>
        </w:tc>
        <w:tc>
          <w:tcPr/>
          <w:p>
            <w:pPr>
              <w:pStyle w:val="Compact"/>
              <w:jc w:val="left"/>
            </w:pPr>
            <w:r>
              <w:t xml:space="preserve">740,000.00</w:t>
            </w:r>
          </w:p>
        </w:tc>
      </w:tr>
      <w:tr>
        <w:tc>
          <w:tcPr/>
          <w:p>
            <w:pPr>
              <w:pStyle w:val="Compact"/>
              <w:jc w:val="left"/>
            </w:pPr>
            <w:r>
              <w:t xml:space="preserve">05</w:t>
            </w:r>
          </w:p>
        </w:tc>
        <w:tc>
          <w:tcPr/>
          <w:p>
            <w:pPr>
              <w:pStyle w:val="Compact"/>
              <w:jc w:val="left"/>
            </w:pPr>
            <w:r>
              <w:t xml:space="preserve">Firefighter Rescue Straps and Harness Kit</w:t>
            </w:r>
          </w:p>
        </w:tc>
        <w:tc>
          <w:tcPr/>
          <w:p>
            <w:pPr>
              <w:pStyle w:val="Compact"/>
              <w:jc w:val="left"/>
            </w:pPr>
            <w:r>
              <w:t xml:space="preserve">EN 361 / EN 363, 220 kg load capacity, with carabiners</w:t>
            </w:r>
          </w:p>
        </w:tc>
        <w:tc>
          <w:tcPr/>
          <w:p>
            <w:pPr>
              <w:pStyle w:val="Compact"/>
              <w:jc w:val="left"/>
            </w:pPr>
            <w:r>
              <w:t xml:space="preserve">120</w:t>
            </w:r>
          </w:p>
        </w:tc>
        <w:tc>
          <w:tcPr/>
          <w:p>
            <w:pPr>
              <w:pStyle w:val="Compact"/>
              <w:jc w:val="left"/>
            </w:pPr>
            <w:r>
              <w:t xml:space="preserve">2,300.00</w:t>
            </w:r>
          </w:p>
        </w:tc>
        <w:tc>
          <w:tcPr/>
          <w:p>
            <w:pPr>
              <w:pStyle w:val="Compact"/>
              <w:jc w:val="left"/>
            </w:pPr>
            <w:r>
              <w:t xml:space="preserve">276,000.00</w:t>
            </w:r>
          </w:p>
        </w:tc>
      </w:tr>
      <w:tr>
        <w:tc>
          <w:tcPr/>
          <w:p>
            <w:pPr>
              <w:pStyle w:val="Compact"/>
              <w:jc w:val="left"/>
            </w:pPr>
            <w:r>
              <w:t xml:space="preserve">06</w:t>
            </w:r>
          </w:p>
        </w:tc>
        <w:tc>
          <w:tcPr/>
          <w:p>
            <w:pPr>
              <w:pStyle w:val="Compact"/>
              <w:jc w:val="left"/>
            </w:pPr>
            <w:r>
              <w:t xml:space="preserve">Firefighter Radio Communication Set (VHF/UHF)</w:t>
            </w:r>
          </w:p>
        </w:tc>
        <w:tc>
          <w:tcPr/>
          <w:p>
            <w:pPr>
              <w:pStyle w:val="Compact"/>
              <w:jc w:val="left"/>
            </w:pPr>
            <w:r>
              <w:t xml:space="preserve">IP68, 50W output, 12-hour battery, Saudi Arabia Riyadh frequency band</w:t>
            </w:r>
          </w:p>
        </w:tc>
        <w:tc>
          <w:tcPr/>
          <w:p>
            <w:pPr>
              <w:pStyle w:val="Compact"/>
              <w:jc w:val="left"/>
            </w:pPr>
            <w:r>
              <w:t xml:space="preserve">250</w:t>
            </w:r>
          </w:p>
        </w:tc>
        <w:tc>
          <w:tcPr/>
          <w:p>
            <w:pPr>
              <w:pStyle w:val="Compact"/>
              <w:jc w:val="left"/>
            </w:pPr>
            <w:r>
              <w:t xml:space="preserve">3,400.00</w:t>
            </w:r>
          </w:p>
        </w:tc>
        <w:tc>
          <w:tcPr/>
          <w:p>
            <w:pPr>
              <w:pStyle w:val="Compact"/>
              <w:jc w:val="left"/>
            </w:pPr>
            <w:r>
              <w:t xml:space="preserve">850,000.00</w:t>
            </w:r>
          </w:p>
        </w:tc>
      </w:tr>
      <w:tr>
        <w:tc>
          <w:tcPr/>
          <w:p>
            <w:pPr>
              <w:pStyle w:val="Compact"/>
              <w:jc w:val="left"/>
            </w:pPr>
            <w:r>
              <w:t xml:space="preserve">07</w:t>
            </w:r>
          </w:p>
        </w:tc>
        <w:tc>
          <w:tcPr/>
          <w:p>
            <w:pPr>
              <w:pStyle w:val="Compact"/>
              <w:jc w:val="left"/>
            </w:pPr>
            <w:r>
              <w:t xml:space="preserve">Firefighter Eye and Face Protection (Welding Shield)</w:t>
            </w:r>
          </w:p>
        </w:tc>
        <w:tc>
          <w:tcPr/>
          <w:p>
            <w:pPr>
              <w:pStyle w:val="Compact"/>
              <w:jc w:val="left"/>
            </w:pPr>
            <w:r>
              <w:t xml:space="preserve">ANSI Z87.1, auto-darkening, anti-fog coating</w:t>
            </w:r>
          </w:p>
        </w:tc>
        <w:tc>
          <w:tcPr/>
          <w:p>
            <w:pPr>
              <w:pStyle w:val="Compact"/>
              <w:jc w:val="left"/>
            </w:pPr>
            <w:r>
              <w:t xml:space="preserve">250</w:t>
            </w:r>
          </w:p>
        </w:tc>
        <w:tc>
          <w:tcPr/>
          <w:p>
            <w:pPr>
              <w:pStyle w:val="Compact"/>
              <w:jc w:val="left"/>
            </w:pPr>
            <w:r>
              <w:t xml:space="preserve">890.00</w:t>
            </w:r>
          </w:p>
        </w:tc>
        <w:tc>
          <w:tcPr/>
          <w:p>
            <w:pPr>
              <w:pStyle w:val="Compact"/>
              <w:jc w:val="left"/>
            </w:pPr>
            <w:r>
              <w:t xml:space="preserve">222,500.00</w:t>
            </w:r>
          </w:p>
        </w:tc>
      </w:tr>
      <w:tr>
        <w:tc>
          <w:tcPr/>
          <w:p>
            <w:pPr>
              <w:pStyle w:val="Compact"/>
              <w:jc w:val="left"/>
            </w:pPr>
            <w:r>
              <w:t xml:space="preserve">08</w:t>
            </w:r>
          </w:p>
        </w:tc>
        <w:tc>
          <w:tcPr/>
          <w:p>
            <w:pPr>
              <w:pStyle w:val="Compact"/>
              <w:jc w:val="left"/>
            </w:pPr>
            <w:r>
              <w:t xml:space="preserve">Firefighter Gloves (Multi-Task, Heat-Resistant)</w:t>
            </w:r>
          </w:p>
        </w:tc>
        <w:tc>
          <w:tcPr/>
          <w:p>
            <w:pPr>
              <w:pStyle w:val="Compact"/>
              <w:jc w:val="left"/>
            </w:pPr>
            <w:r>
              <w:t xml:space="preserve">NFPA 1971, Kevlar-lined, size range S–XXL</w:t>
            </w:r>
          </w:p>
        </w:tc>
        <w:tc>
          <w:tcPr/>
          <w:p>
            <w:pPr>
              <w:pStyle w:val="Compact"/>
              <w:jc w:val="left"/>
            </w:pPr>
            <w:r>
              <w:t xml:space="preserve">500</w:t>
            </w:r>
          </w:p>
        </w:tc>
        <w:tc>
          <w:tcPr/>
          <w:p>
            <w:pPr>
              <w:pStyle w:val="Compact"/>
              <w:jc w:val="left"/>
            </w:pPr>
            <w:r>
              <w:t xml:space="preserve">420.00</w:t>
            </w:r>
          </w:p>
        </w:tc>
        <w:tc>
          <w:tcPr/>
          <w:p>
            <w:pPr>
              <w:pStyle w:val="Compact"/>
              <w:jc w:val="left"/>
            </w:pPr>
            <w:r>
              <w:t xml:space="preserve">210,000.00</w:t>
            </w:r>
          </w:p>
        </w:tc>
      </w:tr>
      <w:tr>
        <w:tc>
          <w:tcPr/>
          <w:p>
            <w:pPr>
              <w:pStyle w:val="Compact"/>
              <w:jc w:val="left"/>
            </w:pPr>
            <w:r>
              <w:t xml:space="preserve">09</w:t>
            </w:r>
          </w:p>
        </w:tc>
        <w:tc>
          <w:tcPr/>
          <w:p>
            <w:pPr>
              <w:pStyle w:val="Compact"/>
              <w:jc w:val="left"/>
            </w:pPr>
            <w:r>
              <w:t xml:space="preserve">Firefighter Boot (Chemical-Resistant, Steel Toe)</w:t>
            </w:r>
          </w:p>
        </w:tc>
        <w:tc>
          <w:tcPr/>
          <w:p>
            <w:pPr>
              <w:pStyle w:val="Compact"/>
              <w:jc w:val="left"/>
            </w:pPr>
            <w:r>
              <w:t xml:space="preserve">NFPA 1971, 12-inch, anti-static, Saudi Arabia Riyadh sand-rated sole</w:t>
            </w:r>
          </w:p>
        </w:tc>
        <w:tc>
          <w:tcPr/>
          <w:p>
            <w:pPr>
              <w:pStyle w:val="Compact"/>
              <w:jc w:val="left"/>
            </w:pPr>
            <w:r>
              <w:t xml:space="preserve">250</w:t>
            </w:r>
          </w:p>
        </w:tc>
        <w:tc>
          <w:tcPr/>
          <w:p>
            <w:pPr>
              <w:pStyle w:val="Compact"/>
              <w:jc w:val="left"/>
            </w:pPr>
            <w:r>
              <w:t xml:space="preserve">1,650.00</w:t>
            </w:r>
          </w:p>
        </w:tc>
        <w:tc>
          <w:tcPr/>
          <w:p>
            <w:pPr>
              <w:pStyle w:val="Compact"/>
              <w:jc w:val="left"/>
            </w:pPr>
            <w:r>
              <w:t xml:space="preserve">412,500.00</w:t>
            </w:r>
          </w:p>
        </w:tc>
      </w:tr>
      <w:tr>
        <w:tc>
          <w:tcPr/>
          <w:p>
            <w:pPr>
              <w:pStyle w:val="Compact"/>
              <w:jc w:val="left"/>
            </w:pPr>
            <w:r>
              <w:t xml:space="preserve">10</w:t>
            </w:r>
          </w:p>
        </w:tc>
        <w:tc>
          <w:tcPr/>
          <w:p>
            <w:pPr>
              <w:pStyle w:val="Compact"/>
              <w:jc w:val="left"/>
            </w:pPr>
            <w:r>
              <w:t xml:space="preserve">Firefighter Training Mannequin (Burn Simulation)</w:t>
            </w:r>
          </w:p>
        </w:tc>
        <w:tc>
          <w:tcPr/>
          <w:p>
            <w:pPr>
              <w:pStyle w:val="Compact"/>
              <w:jc w:val="left"/>
            </w:pPr>
            <w:r>
              <w:t xml:space="preserve">Full-body, heat-resistant, reusable, with gas supply kit</w:t>
            </w:r>
          </w:p>
        </w:tc>
        <w:tc>
          <w:tcPr/>
          <w:p>
            <w:pPr>
              <w:pStyle w:val="Compact"/>
              <w:jc w:val="left"/>
            </w:pPr>
            <w:r>
              <w:t xml:space="preserve">10</w:t>
            </w:r>
          </w:p>
        </w:tc>
        <w:tc>
          <w:tcPr/>
          <w:p>
            <w:pPr>
              <w:pStyle w:val="Compact"/>
              <w:jc w:val="left"/>
            </w:pPr>
            <w:r>
              <w:t xml:space="preserve">45,000.00</w:t>
            </w:r>
          </w:p>
        </w:tc>
        <w:tc>
          <w:tcPr/>
          <w:p>
            <w:pPr>
              <w:pStyle w:val="Compact"/>
              <w:jc w:val="left"/>
            </w:pPr>
            <w:r>
              <w:t xml:space="preserve">450,000.00</w:t>
            </w:r>
          </w:p>
        </w:tc>
      </w:tr>
      <w:tr>
        <w:tc>
          <w:tcPr>
            <w:gridSpan w:val="5"/>
          </w:tcPr>
          <w:p>
            <w:pPr>
              <w:pStyle w:val="Compact"/>
              <w:jc w:val="right"/>
            </w:pPr>
            <w:r>
              <w:t xml:space="preserve">Subtotal:</w:t>
            </w:r>
          </w:p>
        </w:tc>
        <w:tc>
          <w:tcPr/>
          <w:p>
            <w:pPr>
              <w:pStyle w:val="Compact"/>
              <w:jc w:val="left"/>
            </w:pPr>
            <w:r>
              <w:t xml:space="preserve">6,211,000.00</w:t>
            </w:r>
          </w:p>
        </w:tc>
      </w:tr>
      <w:tr>
        <w:tc>
          <w:tcPr>
            <w:gridSpan w:val="5"/>
          </w:tcPr>
          <w:p>
            <w:pPr>
              <w:pStyle w:val="Compact"/>
              <w:jc w:val="right"/>
            </w:pPr>
            <w:r>
              <w:t xml:space="preserve">VAT (15%):</w:t>
            </w:r>
          </w:p>
        </w:tc>
        <w:tc>
          <w:tcPr/>
          <w:p>
            <w:pPr>
              <w:pStyle w:val="Compact"/>
              <w:jc w:val="left"/>
            </w:pPr>
            <w:r>
              <w:t xml:space="preserve">931,650.00</w:t>
            </w:r>
          </w:p>
        </w:tc>
      </w:tr>
      <w:tr>
        <w:tc>
          <w:tcPr>
            <w:gridSpan w:val="5"/>
          </w:tcPr>
          <w:p>
            <w:pPr>
              <w:pStyle w:val="Compact"/>
              <w:jc w:val="right"/>
            </w:pPr>
            <w:r>
              <w:t xml:space="preserve">Grand Total (SAR):</w:t>
            </w:r>
          </w:p>
        </w:tc>
        <w:tc>
          <w:tcPr/>
          <w:p>
            <w:pPr>
              <w:pStyle w:val="Compact"/>
              <w:jc w:val="left"/>
            </w:pPr>
            <w:r>
              <w:t xml:space="preserve">7,142,650.00</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is issued by the Riyadh Metropolitan Fire &amp; Rescue Authority for the procurement of Firefighter personal protective equipment, communication devices, and training apparatus to be deployed across all Firefighter stations in Saudi Arabia Riyadh.</w:t>
      </w:r>
    </w:p>
    <w:p>
      <w:pPr>
        <w:numPr>
          <w:ilvl w:val="0"/>
          <w:numId w:val="1001"/>
        </w:numPr>
        <w:pStyle w:val="Compact"/>
      </w:pPr>
      <w:r>
        <w:t xml:space="preserve">All Firefighter equipment supplied under this Purchase Order must comply with the latest editions of NFPA standards, EN standards, and the Saudi Standards, Metrology and Quality Organization (SASO) regulations. The supplier shall provide certificates of conformity for every item listed.</w:t>
      </w:r>
    </w:p>
    <w:p>
      <w:pPr>
        <w:numPr>
          <w:ilvl w:val="0"/>
          <w:numId w:val="1001"/>
        </w:numPr>
        <w:pStyle w:val="Compact"/>
      </w:pPr>
      <w:r>
        <w:t xml:space="preserve">Delivery shall be made to the Riyadh Central Fire Station, Al Malqa District, Saudi Arabia Riyadh, no later than 15 August 2025. The supplier is responsible for all transportation, insurance, and customs clearance costs within Saudi Arabia Riyadh.</w:t>
      </w:r>
    </w:p>
    <w:p>
      <w:pPr>
        <w:numPr>
          <w:ilvl w:val="0"/>
          <w:numId w:val="1001"/>
        </w:numPr>
        <w:pStyle w:val="Compact"/>
      </w:pPr>
      <w:r>
        <w:t xml:space="preserve">The supplier shall provide a minimum five (5) year warranty on all Firefighter structural gear, SCBA units, and thermal imaging cameras. Any defective Firefighter equipment discovered within the warranty period shall be replaced at no additional cost to the Authority.</w:t>
      </w:r>
    </w:p>
    <w:p>
      <w:pPr>
        <w:numPr>
          <w:ilvl w:val="0"/>
          <w:numId w:val="1001"/>
        </w:numPr>
        <w:pStyle w:val="Compact"/>
      </w:pPr>
      <w:r>
        <w:t xml:space="preserve">Payment shall be processed within sixty (60) calendar days following the Authority's written acceptance of the delivered Firefighter equipment and receipt of a valid commercial invoice bearing the supplier's VAT registration number.</w:t>
      </w:r>
    </w:p>
    <w:p>
      <w:pPr>
        <w:numPr>
          <w:ilvl w:val="0"/>
          <w:numId w:val="1001"/>
        </w:numPr>
        <w:pStyle w:val="Compact"/>
      </w:pPr>
      <w:r>
        <w:t xml:space="preserve">The supplier must ensure that all Firefighter gear is labeled in both Arabic and English, in accordance with the signage and labeling requirements of the General Directorate of Civil Defense in Saudi Arabia Riyadh.</w:t>
      </w:r>
    </w:p>
    <w:p>
      <w:pPr>
        <w:numPr>
          <w:ilvl w:val="0"/>
          <w:numId w:val="1001"/>
        </w:numPr>
        <w:pStyle w:val="Compact"/>
      </w:pPr>
      <w:r>
        <w:t xml:space="preserve">Any delay in delivery beyond the stipulated date shall incur a penalty of 0.5% of the total Purchase Order value per calendar day, up to a maximum of 10% of the total Purchase Order value. Delays exceeding thirty (30) days entitle the Authority to cancel this Purchase Order without penalty.</w:t>
      </w:r>
    </w:p>
    <w:p>
      <w:pPr>
        <w:numPr>
          <w:ilvl w:val="0"/>
          <w:numId w:val="1001"/>
        </w:numPr>
        <w:pStyle w:val="Compact"/>
      </w:pPr>
      <w:r>
        <w:t xml:space="preserve">The supplier shall assign a dedicated technical representative to be present at the Saudi Arabia Riyadh delivery site for a minimum of three (3) business days to assist with inspection, calibration of SCBA units, and initial training of Firefighter personnel on the new equipment.</w:t>
      </w:r>
    </w:p>
    <w:p>
      <w:pPr>
        <w:numPr>
          <w:ilvl w:val="0"/>
          <w:numId w:val="1001"/>
        </w:numPr>
        <w:pStyle w:val="Compact"/>
      </w:pPr>
      <w:r>
        <w:t xml:space="preserve">This Purchase Order is governed by the laws of the Kingdom of Saudi Arabia. Any disputes arising from this Purchase Order shall be resolved through the competent courts in Riyadh, Saudi Arabia Riyadh.</w:t>
      </w:r>
    </w:p>
    <w:p>
      <w:pPr>
        <w:numPr>
          <w:ilvl w:val="0"/>
          <w:numId w:val="1001"/>
        </w:numPr>
        <w:pStyle w:val="Compact"/>
      </w:pPr>
      <w:r>
        <w:t xml:space="preserve">The supplier acknowledges that the Firefighter equipment procured under this Purchase Order is intended for life-safety operations in the urban and industrial zones of Saudi Arabia Riyadh and must meet the highest standards of reliability and durability under extreme heat conditions exceeding 50°C.</w:t>
      </w:r>
    </w:p>
    <w:bookmarkEnd w:id="26"/>
    <w:bookmarkStart w:id="27" w:name="authorization-and-signatures"/>
    <w:p>
      <w:pPr>
        <w:pStyle w:val="Heading2"/>
      </w:pPr>
      <w:r>
        <w:t xml:space="preserve">Authorization and Signatures</w:t>
      </w:r>
    </w:p>
    <w:p>
      <w:pPr>
        <w:pStyle w:val="FirstParagraph"/>
      </w:pPr>
      <w:r>
        <w:rPr>
          <w:bCs/>
          <w:b/>
        </w:rPr>
        <w:t xml:space="preserve">Prepared By:</w:t>
      </w:r>
    </w:p>
    <w:p>
      <w:pPr>
        <w:pStyle w:val="BodyText"/>
      </w:pPr>
      <w:r>
        <w:t xml:space="preserve">Name: Eng. Sarah Al-Harbi</w:t>
      </w:r>
    </w:p>
    <w:p>
      <w:pPr>
        <w:pStyle w:val="BodyText"/>
      </w:pPr>
      <w:r>
        <w:t xml:space="preserve">Title: Procurement Officer, Firefighter Equipment Division</w:t>
      </w:r>
    </w:p>
    <w:p>
      <w:pPr>
        <w:pStyle w:val="BodyText"/>
      </w:pPr>
      <w:r>
        <w:t xml:space="preserve">Date: 14 June 2025</w:t>
      </w:r>
    </w:p>
    <w:p>
      <w:pPr>
        <w:pStyle w:val="BodyText"/>
      </w:pPr>
      <w:r>
        <w:t xml:space="preserve">Signature: ___________________________</w:t>
      </w:r>
    </w:p>
    <w:p>
      <w:pPr>
        <w:pStyle w:val="BodyText"/>
      </w:pPr>
      <w:r>
        <w:rPr>
          <w:bCs/>
          <w:b/>
        </w:rPr>
        <w:t xml:space="preserve">Approved By:</w:t>
      </w:r>
    </w:p>
    <w:p>
      <w:pPr>
        <w:pStyle w:val="BodyText"/>
      </w:pPr>
      <w:r>
        <w:t xml:space="preserve">Name: Lt. Col. Faisal Al-Otaibi</w:t>
      </w:r>
    </w:p>
    <w:p>
      <w:pPr>
        <w:pStyle w:val="BodyText"/>
      </w:pPr>
      <w:r>
        <w:t xml:space="preserve">Title: Director, Firefighter Operations &amp; Equipment Division</w:t>
      </w:r>
    </w:p>
    <w:p>
      <w:pPr>
        <w:pStyle w:val="BodyText"/>
      </w:pPr>
      <w:r>
        <w:t xml:space="preserve">Date: 14 June 2025</w:t>
      </w:r>
    </w:p>
    <w:p>
      <w:pPr>
        <w:pStyle w:val="BodyText"/>
      </w:pPr>
      <w:r>
        <w:t xml:space="preserve">Signature: ___________________________</w:t>
      </w:r>
    </w:p>
    <w:p>
      <w:pPr>
        <w:pStyle w:val="BodyText"/>
      </w:pPr>
      <w:r>
        <w:rPr>
          <w:bCs/>
          <w:b/>
        </w:rPr>
        <w:t xml:space="preserve">Supplier Acceptance:</w:t>
      </w:r>
    </w:p>
    <w:p>
      <w:pPr>
        <w:pStyle w:val="BodyText"/>
      </w:pPr>
      <w:r>
        <w:t xml:space="preserve">Name: Mr. Khalid Al-Rashidi</w:t>
      </w:r>
    </w:p>
    <w:p>
      <w:pPr>
        <w:pStyle w:val="BodyText"/>
      </w:pPr>
      <w:r>
        <w:t xml:space="preserve">Title: General Manager, Gulf Safety &amp; Fire Protection Industries LLC</w:t>
      </w:r>
    </w:p>
    <w:p>
      <w:pPr>
        <w:pStyle w:val="BodyText"/>
      </w:pPr>
      <w:r>
        <w:t xml:space="preserve">Date: _______________</w:t>
      </w:r>
    </w:p>
    <w:p>
      <w:pPr>
        <w:pStyle w:val="BodyText"/>
      </w:pPr>
      <w:r>
        <w:t xml:space="preserve">Signature: ___________________________</w:t>
      </w:r>
    </w:p>
    <w:p>
      <w:pPr>
        <w:pStyle w:val="BodyText"/>
      </w:pPr>
      <w:r>
        <w:rPr>
          <w:bCs/>
          <w:b/>
        </w:rPr>
        <w:t xml:space="preserve">Finance Verification:</w:t>
      </w:r>
    </w:p>
    <w:p>
      <w:pPr>
        <w:pStyle w:val="BodyText"/>
      </w:pPr>
      <w:r>
        <w:t xml:space="preserve">Name: Mr. Abdullah Al-Saud</w:t>
      </w:r>
    </w:p>
    <w:p>
      <w:pPr>
        <w:pStyle w:val="BodyText"/>
      </w:pPr>
      <w:r>
        <w:t xml:space="preserve">Title: Chief Financial Officer, RMFRA</w:t>
      </w:r>
    </w:p>
    <w:p>
      <w:pPr>
        <w:pStyle w:val="BodyText"/>
      </w:pPr>
      <w:r>
        <w:t xml:space="preserve">Date: _______________</w:t>
      </w:r>
    </w:p>
    <w:p>
      <w:pPr>
        <w:pStyle w:val="BodyText"/>
      </w:pPr>
      <w:r>
        <w:t xml:space="preserve">Signature: ___________________________</w:t>
      </w:r>
    </w:p>
    <w:p>
      <w:pPr>
        <w:pStyle w:val="BodyText"/>
      </w:pPr>
      <w:r>
        <w:t xml:space="preserve">This Purchase Order (PO-RMR-2025-04871) is an official document of the Riyadh Metropolitan Fire &amp; Rescue Authority, Saudi Arabia Riyadh. Unauthorized reproduction or distribution is prohibited. All Firefighter equipment referenced herein is subject to SASO and NFPA compliance verification prior to acceptance.</w:t>
      </w:r>
    </w:p>
    <w:p>
      <w:pPr>
        <w:pStyle w:val="BodyText"/>
      </w:pPr>
      <w:r>
        <w:t xml:space="preserve">Document generated: 14 June 2025 | Version 1.0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Saudi Arabia Riyadh</dc:title>
  <dc:creator/>
  <dc:language>en</dc:language>
  <cp:keywords/>
  <dcterms:created xsi:type="dcterms:W3CDTF">2026-10-10T03:38:27Z</dcterms:created>
  <dcterms:modified xsi:type="dcterms:W3CDTF">2026-10-10T03:38:27Z</dcterms:modified>
</cp:coreProperties>
</file>

<file path=docProps/custom.xml><?xml version="1.0" encoding="utf-8"?>
<Properties xmlns="http://schemas.openxmlformats.org/officeDocument/2006/custom-properties" xmlns:vt="http://schemas.openxmlformats.org/officeDocument/2006/docPropsVTypes"/>
</file>