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Firefighter</w:t>
      </w:r>
      <w:r>
        <w:t xml:space="preserve"> </w:t>
      </w:r>
      <w:r>
        <w:t xml:space="preserve">Equipment</w:t>
      </w:r>
      <w:r>
        <w:t xml:space="preserve"> </w:t>
      </w:r>
      <w:r>
        <w:t xml:space="preserve">-</w:t>
      </w:r>
      <w:r>
        <w:t xml:space="preserve"> </w:t>
      </w:r>
      <w:r>
        <w:t xml:space="preserve">Senegal</w:t>
      </w:r>
      <w:r>
        <w:t xml:space="preserve"> </w:t>
      </w:r>
      <w:r>
        <w:t xml:space="preserve">Dakar</w:t>
      </w:r>
    </w:p>
    <w:bookmarkStart w:id="20" w:name="purchase-order"/>
    <w:p>
      <w:pPr>
        <w:pStyle w:val="Heading1"/>
      </w:pPr>
      <w:r>
        <w:t xml:space="preserve">PURCHASE ORDER</w:t>
      </w:r>
    </w:p>
    <w:p>
      <w:pPr>
        <w:pStyle w:val="FirstParagraph"/>
      </w:pPr>
      <w:r>
        <w:t xml:space="preserve">Firefighter Equipment and Protective Gear Supply for Senegal Dakar Fire Department</w:t>
      </w:r>
    </w:p>
    <w:p>
      <w:pPr>
        <w:pStyle w:val="BodyText"/>
      </w:pPr>
      <w:r>
        <w:t xml:space="preserve">Document Reference: PO-SEN-DKR-2025-0472</w:t>
      </w:r>
    </w:p>
    <w:bookmarkEnd w:id="20"/>
    <w:p>
      <w:pPr>
        <w:pStyle w:val="BodyText"/>
      </w:pPr>
      <w:r>
        <w:rPr>
          <w:bCs/>
          <w:b/>
        </w:rPr>
        <w:t xml:space="preserve">Purchase Order No.:</w:t>
      </w:r>
      <w:r>
        <w:t xml:space="preserve"> </w:t>
      </w:r>
      <w:r>
        <w:t xml:space="preserve">PO-SEN-DKR-2025-0472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Buyer:</w:t>
      </w:r>
      <w:r>
        <w:t xml:space="preserve"> </w:t>
      </w:r>
      <w:r>
        <w:t xml:space="preserve">Direction des Services de Sécurité Incendie</w:t>
      </w:r>
      <w:r>
        <w:br/>
      </w:r>
      <w:r>
        <w:rPr>
          <w:bCs/>
          <w:b/>
        </w:rPr>
        <w:t xml:space="preserve">Location:</w:t>
      </w:r>
      <w:r>
        <w:t xml:space="preserve"> </w:t>
      </w:r>
      <w:r>
        <w:t xml:space="preserve">Dakar, Senegal</w:t>
      </w:r>
      <w:r>
        <w:br/>
      </w:r>
      <w:r>
        <w:rPr>
          <w:bCs/>
          <w:b/>
        </w:rPr>
        <w:t xml:space="preserve">Contact:</w:t>
      </w:r>
      <w:r>
        <w:t xml:space="preserve"> </w:t>
      </w:r>
      <w:r>
        <w:t xml:space="preserve">procurement.dakar@senegal.gouv.sn</w:t>
      </w:r>
    </w:p>
    <w:p>
      <w:pPr>
        <w:pStyle w:val="BodyText"/>
      </w:pPr>
      <w:r>
        <w:rPr>
          <w:bCs/>
          <w:b/>
        </w:rPr>
        <w:t xml:space="preserve">Supplier:</w:t>
      </w:r>
      <w:r>
        <w:t xml:space="preserve"> </w:t>
      </w:r>
      <w:r>
        <w:t xml:space="preserve">Global Fire Protection Solutions Ltd.</w:t>
      </w:r>
      <w:r>
        <w:br/>
      </w:r>
      <w:r>
        <w:rPr>
          <w:bCs/>
          <w:b/>
        </w:rPr>
        <w:t xml:space="preserve">Address:</w:t>
      </w:r>
      <w:r>
        <w:t xml:space="preserve"> </w:t>
      </w:r>
      <w:r>
        <w:t xml:space="preserve">42 Industrial Avenue, Rotterdam, Netherlands</w:t>
      </w:r>
      <w:r>
        <w:br/>
      </w:r>
      <w:r>
        <w:rPr>
          <w:bCs/>
          <w:b/>
        </w:rPr>
        <w:t xml:space="preserve">Contact:</w:t>
      </w:r>
      <w:r>
        <w:t xml:space="preserve"> </w:t>
      </w:r>
      <w:r>
        <w:t xml:space="preserve">sales@globalfireprotection.nl</w:t>
      </w:r>
    </w:p>
    <w:p>
      <w:pPr>
        <w:pStyle w:val="BodyText"/>
      </w:pPr>
      <w:r>
        <w:t xml:space="preserve">1. PURPOSE AND SCOPE OF THIS PURCHASE ORDER</w:t>
      </w:r>
    </w:p>
    <w:p>
      <w:pPr>
        <w:pStyle w:val="BodyText"/>
      </w:pPr>
      <w:r>
        <w:t xml:space="preserve">This Purchase Order is issued by the Dakar Fire Department, Republic of Senegal, to procure a comprehensive set of Firefighter personal protective equipment (PPE), structural firefighting apparatus, and emergency response tools. The entire scope of this Purchase Order is dedicated to equipping and upgrading the Firefighter units stationed across the Dakar metropolitan area, including the Plateau, Mermoz, Yoff, Ouakam, and Grand Dakar districts. The Firefighter personnel in Senegal Dakar operate under extreme climatic conditions, with temperatures frequently exceeding 40 degrees Celsius and high humidity levels, necessitating equipment that meets or exceeds international safety standards (EN 469, NFPA 1971, and ISO 11612). This Purchase Order ensures that every Firefighter in Senegal Dakar receives certified, high-performance gear to protect their lives during structural fires, industrial incidents, road traffic accidents, and chemical spills.</w:t>
      </w:r>
    </w:p>
    <w:p>
      <w:pPr>
        <w:pStyle w:val="BodyText"/>
      </w:pPr>
      <w:r>
        <w:t xml:space="preserve">2. LINE ITEMS AND QUANTITIES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Specification / Standard</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Firefighter Turnout Jacket (Heat-Resistant, Moisture-Permeable)</w:t>
            </w:r>
          </w:p>
        </w:tc>
        <w:tc>
          <w:tcPr/>
          <w:p>
            <w:pPr>
              <w:pStyle w:val="Compact"/>
              <w:jc w:val="left"/>
            </w:pPr>
            <w:r>
              <w:t xml:space="preserve">EN 469:2020 / NFPA 1971</w:t>
            </w:r>
          </w:p>
        </w:tc>
        <w:tc>
          <w:tcPr/>
          <w:p>
            <w:pPr>
              <w:pStyle w:val="Compact"/>
              <w:jc w:val="left"/>
            </w:pPr>
            <w:r>
              <w:t xml:space="preserve">250</w:t>
            </w:r>
          </w:p>
        </w:tc>
        <w:tc>
          <w:tcPr/>
          <w:p>
            <w:pPr>
              <w:pStyle w:val="Compact"/>
              <w:jc w:val="left"/>
            </w:pPr>
            <w:r>
              <w:t xml:space="preserve">485.00</w:t>
            </w:r>
          </w:p>
        </w:tc>
        <w:tc>
          <w:tcPr/>
          <w:p>
            <w:pPr>
              <w:pStyle w:val="Compact"/>
              <w:jc w:val="left"/>
            </w:pPr>
            <w:r>
              <w:t xml:space="preserve">121,250.00</w:t>
            </w:r>
          </w:p>
        </w:tc>
      </w:tr>
      <w:tr>
        <w:tc>
          <w:tcPr/>
          <w:p>
            <w:pPr>
              <w:pStyle w:val="Compact"/>
              <w:jc w:val="left"/>
            </w:pPr>
            <w:r>
              <w:t xml:space="preserve">02</w:t>
            </w:r>
          </w:p>
        </w:tc>
        <w:tc>
          <w:tcPr/>
          <w:p>
            <w:pPr>
              <w:pStyle w:val="Compact"/>
              <w:jc w:val="left"/>
            </w:pPr>
            <w:r>
              <w:t xml:space="preserve">Firefighter Turnout Trousers (Full-Length, Reflective Strips)</w:t>
            </w:r>
          </w:p>
        </w:tc>
        <w:tc>
          <w:tcPr/>
          <w:p>
            <w:pPr>
              <w:pStyle w:val="Compact"/>
              <w:jc w:val="left"/>
            </w:pPr>
            <w:r>
              <w:t xml:space="preserve">EN 469:2020 / NFPA 1971</w:t>
            </w:r>
          </w:p>
        </w:tc>
        <w:tc>
          <w:tcPr/>
          <w:p>
            <w:pPr>
              <w:pStyle w:val="Compact"/>
              <w:jc w:val="left"/>
            </w:pPr>
            <w:r>
              <w:t xml:space="preserve">250</w:t>
            </w:r>
          </w:p>
        </w:tc>
        <w:tc>
          <w:tcPr/>
          <w:p>
            <w:pPr>
              <w:pStyle w:val="Compact"/>
              <w:jc w:val="left"/>
            </w:pPr>
            <w:r>
              <w:t xml:space="preserve">410.00</w:t>
            </w:r>
          </w:p>
        </w:tc>
        <w:tc>
          <w:tcPr/>
          <w:p>
            <w:pPr>
              <w:pStyle w:val="Compact"/>
              <w:jc w:val="left"/>
            </w:pPr>
            <w:r>
              <w:t xml:space="preserve">102,500.00</w:t>
            </w:r>
          </w:p>
        </w:tc>
      </w:tr>
      <w:tr>
        <w:tc>
          <w:tcPr/>
          <w:p>
            <w:pPr>
              <w:pStyle w:val="Compact"/>
              <w:jc w:val="left"/>
            </w:pPr>
            <w:r>
              <w:t xml:space="preserve">03</w:t>
            </w:r>
          </w:p>
        </w:tc>
        <w:tc>
          <w:tcPr/>
          <w:p>
            <w:pPr>
              <w:pStyle w:val="Compact"/>
              <w:jc w:val="left"/>
            </w:pPr>
            <w:r>
              <w:t xml:space="preserve">Firefighter Structural Helmet with Face Shield and Neck Protector</w:t>
            </w:r>
          </w:p>
        </w:tc>
        <w:tc>
          <w:tcPr/>
          <w:p>
            <w:pPr>
              <w:pStyle w:val="Compact"/>
              <w:jc w:val="left"/>
            </w:pPr>
            <w:r>
              <w:t xml:space="preserve">EN 443 / NFPA 1971</w:t>
            </w:r>
          </w:p>
        </w:tc>
        <w:tc>
          <w:tcPr/>
          <w:p>
            <w:pPr>
              <w:pStyle w:val="Compact"/>
              <w:jc w:val="left"/>
            </w:pPr>
            <w:r>
              <w:t xml:space="preserve">250</w:t>
            </w:r>
          </w:p>
        </w:tc>
        <w:tc>
          <w:tcPr/>
          <w:p>
            <w:pPr>
              <w:pStyle w:val="Compact"/>
              <w:jc w:val="left"/>
            </w:pPr>
            <w:r>
              <w:t xml:space="preserve">220.00</w:t>
            </w:r>
          </w:p>
        </w:tc>
        <w:tc>
          <w:tcPr/>
          <w:p>
            <w:pPr>
              <w:pStyle w:val="Compact"/>
              <w:jc w:val="left"/>
            </w:pPr>
            <w:r>
              <w:t xml:space="preserve">55,000.00</w:t>
            </w:r>
          </w:p>
        </w:tc>
      </w:tr>
      <w:tr>
        <w:tc>
          <w:tcPr/>
          <w:p>
            <w:pPr>
              <w:pStyle w:val="Compact"/>
              <w:jc w:val="left"/>
            </w:pPr>
            <w:r>
              <w:t xml:space="preserve">04</w:t>
            </w:r>
          </w:p>
        </w:tc>
        <w:tc>
          <w:tcPr/>
          <w:p>
            <w:pPr>
              <w:pStyle w:val="Compact"/>
              <w:jc w:val="left"/>
            </w:pPr>
            <w:r>
              <w:t xml:space="preserve">Firefighter Self-Contained Breathing Apparatus (SCBA), 30-min Cylinder</w:t>
            </w:r>
          </w:p>
        </w:tc>
        <w:tc>
          <w:tcPr/>
          <w:p>
            <w:pPr>
              <w:pStyle w:val="Compact"/>
              <w:jc w:val="left"/>
            </w:pPr>
            <w:r>
              <w:t xml:space="preserve">EN 137:2006 / NFPA 1981</w:t>
            </w:r>
          </w:p>
        </w:tc>
        <w:tc>
          <w:tcPr/>
          <w:p>
            <w:pPr>
              <w:pStyle w:val="Compact"/>
              <w:jc w:val="left"/>
            </w:pPr>
            <w:r>
              <w:t xml:space="preserve">120</w:t>
            </w:r>
          </w:p>
        </w:tc>
        <w:tc>
          <w:tcPr/>
          <w:p>
            <w:pPr>
              <w:pStyle w:val="Compact"/>
              <w:jc w:val="left"/>
            </w:pPr>
            <w:r>
              <w:t xml:space="preserve">1,850.00</w:t>
            </w:r>
          </w:p>
        </w:tc>
        <w:tc>
          <w:tcPr/>
          <w:p>
            <w:pPr>
              <w:pStyle w:val="Compact"/>
              <w:jc w:val="left"/>
            </w:pPr>
            <w:r>
              <w:t xml:space="preserve">222,000.00</w:t>
            </w:r>
          </w:p>
        </w:tc>
      </w:tr>
      <w:tr>
        <w:tc>
          <w:tcPr/>
          <w:p>
            <w:pPr>
              <w:pStyle w:val="Compact"/>
              <w:jc w:val="left"/>
            </w:pPr>
            <w:r>
              <w:t xml:space="preserve">05</w:t>
            </w:r>
          </w:p>
        </w:tc>
        <w:tc>
          <w:tcPr/>
          <w:p>
            <w:pPr>
              <w:pStyle w:val="Compact"/>
              <w:jc w:val="left"/>
            </w:pPr>
            <w:r>
              <w:t xml:space="preserve">Firefighter Thermal Imaging Camera (Handheld, 640x480 Resolution)</w:t>
            </w:r>
          </w:p>
        </w:tc>
        <w:tc>
          <w:tcPr/>
          <w:p>
            <w:pPr>
              <w:pStyle w:val="Compact"/>
              <w:jc w:val="left"/>
            </w:pPr>
            <w:r>
              <w:t xml:space="preserve">EN 60950 / MIL-STD-810</w:t>
            </w:r>
          </w:p>
        </w:tc>
        <w:tc>
          <w:tcPr/>
          <w:p>
            <w:pPr>
              <w:pStyle w:val="Compact"/>
              <w:jc w:val="left"/>
            </w:pPr>
            <w:r>
              <w:t xml:space="preserve">40</w:t>
            </w:r>
          </w:p>
        </w:tc>
        <w:tc>
          <w:tcPr/>
          <w:p>
            <w:pPr>
              <w:pStyle w:val="Compact"/>
              <w:jc w:val="left"/>
            </w:pPr>
            <w:r>
              <w:t xml:space="preserve">3,200.00</w:t>
            </w:r>
          </w:p>
        </w:tc>
        <w:tc>
          <w:tcPr/>
          <w:p>
            <w:pPr>
              <w:pStyle w:val="Compact"/>
              <w:jc w:val="left"/>
            </w:pPr>
            <w:r>
              <w:t xml:space="preserve">128,000.00</w:t>
            </w:r>
          </w:p>
        </w:tc>
      </w:tr>
      <w:tr>
        <w:tc>
          <w:tcPr/>
          <w:p>
            <w:pPr>
              <w:pStyle w:val="Compact"/>
              <w:jc w:val="left"/>
            </w:pPr>
            <w:r>
              <w:t xml:space="preserve">06</w:t>
            </w:r>
          </w:p>
        </w:tc>
        <w:tc>
          <w:tcPr/>
          <w:p>
            <w:pPr>
              <w:pStyle w:val="Compact"/>
              <w:jc w:val="left"/>
            </w:pPr>
            <w:r>
              <w:t xml:space="preserve">Firefighter Leather Gloves (Heat-Resistant to 350°C, Waterproof)</w:t>
            </w:r>
          </w:p>
        </w:tc>
        <w:tc>
          <w:tcPr/>
          <w:p>
            <w:pPr>
              <w:pStyle w:val="Compact"/>
              <w:jc w:val="left"/>
            </w:pPr>
            <w:r>
              <w:t xml:space="preserve">EN 407 / EN 420</w:t>
            </w:r>
          </w:p>
        </w:tc>
        <w:tc>
          <w:tcPr/>
          <w:p>
            <w:pPr>
              <w:pStyle w:val="Compact"/>
              <w:jc w:val="left"/>
            </w:pPr>
            <w:r>
              <w:t xml:space="preserve">500</w:t>
            </w:r>
          </w:p>
        </w:tc>
        <w:tc>
          <w:tcPr/>
          <w:p>
            <w:pPr>
              <w:pStyle w:val="Compact"/>
              <w:jc w:val="left"/>
            </w:pPr>
            <w:r>
              <w:t xml:space="preserve">65.00</w:t>
            </w:r>
          </w:p>
        </w:tc>
        <w:tc>
          <w:tcPr/>
          <w:p>
            <w:pPr>
              <w:pStyle w:val="Compact"/>
              <w:jc w:val="left"/>
            </w:pPr>
            <w:r>
              <w:t xml:space="preserve">32,500.00</w:t>
            </w:r>
          </w:p>
        </w:tc>
      </w:tr>
      <w:tr>
        <w:tc>
          <w:tcPr/>
          <w:p>
            <w:pPr>
              <w:pStyle w:val="Compact"/>
              <w:jc w:val="left"/>
            </w:pPr>
            <w:r>
              <w:t xml:space="preserve">07</w:t>
            </w:r>
          </w:p>
        </w:tc>
        <w:tc>
          <w:tcPr/>
          <w:p>
            <w:pPr>
              <w:pStyle w:val="Compact"/>
              <w:jc w:val="left"/>
            </w:pPr>
            <w:r>
              <w:t xml:space="preserve">Firefighter Safety Boots (Steel Toe, Metatarsal Guard, Anti-Static)</w:t>
            </w:r>
          </w:p>
        </w:tc>
        <w:tc>
          <w:tcPr/>
          <w:p>
            <w:pPr>
              <w:pStyle w:val="Compact"/>
              <w:jc w:val="left"/>
            </w:pPr>
            <w:r>
              <w:t xml:space="preserve">EN ISO 20345 S3 / EN 471</w:t>
            </w:r>
          </w:p>
        </w:tc>
        <w:tc>
          <w:tcPr/>
          <w:p>
            <w:pPr>
              <w:pStyle w:val="Compact"/>
              <w:jc w:val="left"/>
            </w:pPr>
            <w:r>
              <w:t xml:space="preserve">250</w:t>
            </w:r>
          </w:p>
        </w:tc>
        <w:tc>
          <w:tcPr/>
          <w:p>
            <w:pPr>
              <w:pStyle w:val="Compact"/>
              <w:jc w:val="left"/>
            </w:pPr>
            <w:r>
              <w:t xml:space="preserve">195.00</w:t>
            </w:r>
          </w:p>
        </w:tc>
        <w:tc>
          <w:tcPr/>
          <w:p>
            <w:pPr>
              <w:pStyle w:val="Compact"/>
              <w:jc w:val="left"/>
            </w:pPr>
            <w:r>
              <w:t xml:space="preserve">48,750.00</w:t>
            </w:r>
          </w:p>
        </w:tc>
      </w:tr>
      <w:tr>
        <w:tc>
          <w:tcPr/>
          <w:p>
            <w:pPr>
              <w:pStyle w:val="Compact"/>
              <w:jc w:val="left"/>
            </w:pPr>
            <w:r>
              <w:t xml:space="preserve">08</w:t>
            </w:r>
          </w:p>
        </w:tc>
        <w:tc>
          <w:tcPr/>
          <w:p>
            <w:pPr>
              <w:pStyle w:val="Compact"/>
              <w:jc w:val="left"/>
            </w:pPr>
            <w:r>
              <w:t xml:space="preserve">Firefighter Radio Communication Set (UHF/VHF, IP67, 10 km Range)</w:t>
            </w:r>
          </w:p>
        </w:tc>
        <w:tc>
          <w:tcPr/>
          <w:p>
            <w:pPr>
              <w:pStyle w:val="Compact"/>
              <w:jc w:val="left"/>
            </w:pPr>
            <w:r>
              <w:t xml:space="preserve">EN 300 221 / IP67</w:t>
            </w:r>
          </w:p>
        </w:tc>
        <w:tc>
          <w:tcPr/>
          <w:p>
            <w:pPr>
              <w:pStyle w:val="Compact"/>
              <w:jc w:val="left"/>
            </w:pPr>
            <w:r>
              <w:t xml:space="preserve">250</w:t>
            </w:r>
          </w:p>
        </w:tc>
        <w:tc>
          <w:tcPr/>
          <w:p>
            <w:pPr>
              <w:pStyle w:val="Compact"/>
              <w:jc w:val="left"/>
            </w:pPr>
            <w:r>
              <w:t xml:space="preserve">380.00</w:t>
            </w:r>
          </w:p>
        </w:tc>
        <w:tc>
          <w:tcPr/>
          <w:p>
            <w:pPr>
              <w:pStyle w:val="Compact"/>
              <w:jc w:val="left"/>
            </w:pPr>
            <w:r>
              <w:t xml:space="preserve">95,000.00</w:t>
            </w:r>
          </w:p>
        </w:tc>
      </w:tr>
      <w:tr>
        <w:tc>
          <w:tcPr/>
          <w:p>
            <w:pPr>
              <w:pStyle w:val="Compact"/>
              <w:jc w:val="left"/>
            </w:pPr>
            <w:r>
              <w:t xml:space="preserve">09</w:t>
            </w:r>
          </w:p>
        </w:tc>
        <w:tc>
          <w:tcPr/>
          <w:p>
            <w:pPr>
              <w:pStyle w:val="Compact"/>
              <w:jc w:val="left"/>
            </w:pPr>
            <w:r>
              <w:t xml:space="preserve">Firefighter Hydraulic Rescue Tool Set (Spreaders, Cutters, Rams)</w:t>
            </w:r>
          </w:p>
        </w:tc>
        <w:tc>
          <w:tcPr/>
          <w:p>
            <w:pPr>
              <w:pStyle w:val="Compact"/>
              <w:jc w:val="left"/>
            </w:pPr>
            <w:r>
              <w:t xml:space="preserve">EN 1040 / NFPA 1932</w:t>
            </w:r>
          </w:p>
        </w:tc>
        <w:tc>
          <w:tcPr/>
          <w:p>
            <w:pPr>
              <w:pStyle w:val="Compact"/>
              <w:jc w:val="left"/>
            </w:pPr>
            <w:r>
              <w:t xml:space="preserve">15</w:t>
            </w:r>
          </w:p>
        </w:tc>
        <w:tc>
          <w:tcPr/>
          <w:p>
            <w:pPr>
              <w:pStyle w:val="Compact"/>
              <w:jc w:val="left"/>
            </w:pPr>
            <w:r>
              <w:t xml:space="preserve">12,500.00</w:t>
            </w:r>
          </w:p>
        </w:tc>
        <w:tc>
          <w:tcPr/>
          <w:p>
            <w:pPr>
              <w:pStyle w:val="Compact"/>
              <w:jc w:val="left"/>
            </w:pPr>
            <w:r>
              <w:t xml:space="preserve">187,500.00</w:t>
            </w:r>
          </w:p>
        </w:tc>
      </w:tr>
      <w:tr>
        <w:tc>
          <w:tcPr/>
          <w:p>
            <w:pPr>
              <w:pStyle w:val="Compact"/>
              <w:jc w:val="left"/>
            </w:pPr>
            <w:r>
              <w:t xml:space="preserve">10</w:t>
            </w:r>
          </w:p>
        </w:tc>
        <w:tc>
          <w:tcPr/>
          <w:p>
            <w:pPr>
              <w:pStyle w:val="Compact"/>
              <w:jc w:val="left"/>
            </w:pPr>
            <w:r>
              <w:t xml:space="preserve">Firefighter Emergency Escape Breathing Device (EEBD), 10-min</w:t>
            </w:r>
          </w:p>
        </w:tc>
        <w:tc>
          <w:tcPr/>
          <w:p>
            <w:pPr>
              <w:pStyle w:val="Compact"/>
              <w:jc w:val="left"/>
            </w:pPr>
            <w:r>
              <w:t xml:space="preserve">EN 403:2004</w:t>
            </w:r>
          </w:p>
        </w:tc>
        <w:tc>
          <w:tcPr/>
          <w:p>
            <w:pPr>
              <w:pStyle w:val="Compact"/>
              <w:jc w:val="left"/>
            </w:pPr>
            <w:r>
              <w:t xml:space="preserve">500</w:t>
            </w:r>
          </w:p>
        </w:tc>
        <w:tc>
          <w:tcPr/>
          <w:p>
            <w:pPr>
              <w:pStyle w:val="Compact"/>
              <w:jc w:val="left"/>
            </w:pPr>
            <w:r>
              <w:t xml:space="preserve">85.00</w:t>
            </w:r>
          </w:p>
        </w:tc>
        <w:tc>
          <w:tcPr/>
          <w:p>
            <w:pPr>
              <w:pStyle w:val="Compact"/>
              <w:jc w:val="left"/>
            </w:pPr>
            <w:r>
              <w:t xml:space="preserve">42,500.00</w:t>
            </w:r>
          </w:p>
        </w:tc>
      </w:tr>
    </w:tbl>
    <w:tbl>
      <w:tblPr>
        <w:tblStyle w:val="Table"/>
        <w:tblW w:type="auto" w:w="0"/>
        <w:tblLook w:firstRow="0" w:lastRow="0" w:firstColumn="0" w:lastColumn="0" w:noHBand="0" w:noVBand="0" w:val="0000"/>
      </w:tblPr>
      <w:tblGrid>
        <w:gridCol w:w="3960"/>
        <w:gridCol w:w="3960"/>
      </w:tblGrid>
      <w:tr>
        <w:tc>
          <w:tcPr/>
          <w:p>
            <w:pPr>
              <w:pStyle w:val="Compact"/>
              <w:jc w:val="right"/>
            </w:pPr>
            <w:r>
              <w:t xml:space="preserve">Subtotal:</w:t>
            </w:r>
          </w:p>
        </w:tc>
        <w:tc>
          <w:tcPr/>
          <w:p>
            <w:pPr>
              <w:pStyle w:val="Compact"/>
              <w:jc w:val="left"/>
            </w:pPr>
            <w:r>
              <w:t xml:space="preserve">1,035,000.00 EUR</w:t>
            </w:r>
          </w:p>
        </w:tc>
      </w:tr>
      <w:tr>
        <w:tc>
          <w:tcPr/>
          <w:p>
            <w:pPr>
              <w:pStyle w:val="Compact"/>
              <w:jc w:val="right"/>
            </w:pPr>
            <w:r>
              <w:t xml:space="preserve">VAT (18% - Senegal):</w:t>
            </w:r>
          </w:p>
        </w:tc>
        <w:tc>
          <w:tcPr/>
          <w:p>
            <w:pPr>
              <w:pStyle w:val="Compact"/>
              <w:jc w:val="left"/>
            </w:pPr>
            <w:r>
              <w:t xml:space="preserve">186,300.00 EUR</w:t>
            </w:r>
          </w:p>
        </w:tc>
      </w:tr>
      <w:tr>
        <w:tc>
          <w:tcPr/>
          <w:p>
            <w:pPr>
              <w:pStyle w:val="Compact"/>
              <w:jc w:val="right"/>
            </w:pPr>
            <w:r>
              <w:t xml:space="preserve">Shipping &amp; Insurance to Port of Dakar:</w:t>
            </w:r>
          </w:p>
        </w:tc>
        <w:tc>
          <w:tcPr/>
          <w:p>
            <w:pPr>
              <w:pStyle w:val="Compact"/>
              <w:jc w:val="left"/>
            </w:pPr>
            <w:r>
              <w:t xml:space="preserve">28,400.00 EUR</w:t>
            </w:r>
          </w:p>
        </w:tc>
      </w:tr>
      <w:tr>
        <w:tc>
          <w:tcPr/>
          <w:p>
            <w:pPr>
              <w:pStyle w:val="Compact"/>
              <w:jc w:val="right"/>
            </w:pPr>
            <w:r>
              <w:t xml:space="preserve">GRAND TOTAL (FOB Dakar):</w:t>
            </w:r>
          </w:p>
        </w:tc>
        <w:tc>
          <w:tcPr/>
          <w:p>
            <w:pPr>
              <w:pStyle w:val="Compact"/>
              <w:jc w:val="left"/>
            </w:pPr>
            <w:r>
              <w:t xml:space="preserve">1,249,700.00 EUR</w:t>
            </w:r>
          </w:p>
        </w:tc>
      </w:tr>
    </w:tbl>
    <w:p>
      <w:pPr>
        <w:pStyle w:val="BodyText"/>
      </w:pPr>
      <w:r>
        <w:t xml:space="preserve">3. DELIVERY AND LOGISTICS FOR SENEGAL DAKAR</w:t>
      </w:r>
    </w:p>
    <w:p>
      <w:pPr>
        <w:pStyle w:val="BodyText"/>
      </w:pPr>
      <w:r>
        <w:t xml:space="preserve">All items specified in this Purchase Order shall be delivered to the Dakar Fire Department Central Warehouse, located at Boulevard de la Liberté, Plateau, Dakar, Senegal. The supplier shall arrange all logistics, including ocean freight from the port of Rotterdam to the Port of Dakar, customs clearance in Senegal, and final road transport to the designated warehouse. Delivery must be completed no later than 90 calendar days from the date of this Purchase Order. Each Firefighter equipment package must be individually labeled with the receiving Firefighter unit designation (e.g., "Unit Dakar-Plateau-01") to facilitate rapid distribution across the Senegal Dakar fire stations. The supplier is responsible for all packaging, crating, and moisture protection during transit, given the tropical coastal climate of Senegal Dakar.</w:t>
      </w:r>
    </w:p>
    <w:p>
      <w:pPr>
        <w:pStyle w:val="BodyText"/>
      </w:pPr>
      <w:r>
        <w:t xml:space="preserve">4. TERMS AND CONDITIONS</w:t>
      </w:r>
    </w:p>
    <w:p>
      <w:pPr>
        <w:numPr>
          <w:ilvl w:val="0"/>
          <w:numId w:val="1001"/>
        </w:numPr>
        <w:pStyle w:val="Compact"/>
      </w:pPr>
      <w:r>
        <w:rPr>
          <w:bCs/>
          <w:b/>
        </w:rPr>
        <w:t xml:space="preserve">Payment Terms:</w:t>
      </w:r>
      <w:r>
        <w:t xml:space="preserve"> </w:t>
      </w:r>
      <w:r>
        <w:t xml:space="preserve">30% advance payment upon signing of this Purchase Order; 60% upon shipment confirmation and presentation of Bill of Lading; 10% upon successful inspection and acceptance of all Firefighter equipment at the Dakar warehouse.</w:t>
      </w:r>
    </w:p>
    <w:p>
      <w:pPr>
        <w:numPr>
          <w:ilvl w:val="0"/>
          <w:numId w:val="1001"/>
        </w:numPr>
        <w:pStyle w:val="Compact"/>
      </w:pPr>
      <w:r>
        <w:rPr>
          <w:bCs/>
          <w:b/>
        </w:rPr>
        <w:t xml:space="preserve">Warranty:</w:t>
      </w:r>
      <w:r>
        <w:t xml:space="preserve"> </w:t>
      </w:r>
      <w:r>
        <w:t xml:space="preserve">All Firefighter equipment shall carry a minimum 3-year manufacturer's warranty from the date of acceptance in Senegal Dakar. SCBA cylinders shall carry a 10-year hydrostatic test cycle warranty.</w:t>
      </w:r>
    </w:p>
    <w:p>
      <w:pPr>
        <w:numPr>
          <w:ilvl w:val="0"/>
          <w:numId w:val="1001"/>
        </w:numPr>
        <w:pStyle w:val="Compact"/>
      </w:pPr>
      <w:r>
        <w:rPr>
          <w:bCs/>
          <w:b/>
        </w:rPr>
        <w:t xml:space="preserve">Compliance:</w:t>
      </w:r>
      <w:r>
        <w:t xml:space="preserve"> </w:t>
      </w:r>
      <w:r>
        <w:t xml:space="preserve">All items must comply with the standards listed in Section 2. The supplier shall provide Certificates of Conformity, test reports, and Material Safety Data Sheets (MSDS) for each Firefighter product category.</w:t>
      </w:r>
    </w:p>
    <w:p>
      <w:pPr>
        <w:numPr>
          <w:ilvl w:val="0"/>
          <w:numId w:val="1001"/>
        </w:numPr>
        <w:pStyle w:val="Compact"/>
      </w:pPr>
      <w:r>
        <w:rPr>
          <w:bCs/>
          <w:b/>
        </w:rPr>
        <w:t xml:space="preserve">Inspection:</w:t>
      </w:r>
      <w:r>
        <w:t xml:space="preserve"> </w:t>
      </w:r>
      <w:r>
        <w:t xml:space="preserve">The Dakar Fire Department reserves the right to inspect all Firefighter equipment upon arrival at the Port of Dakar. Any non-conforming items shall be replaced at the supplier's sole expense within 30 days.</w:t>
      </w:r>
    </w:p>
    <w:p>
      <w:pPr>
        <w:numPr>
          <w:ilvl w:val="0"/>
          <w:numId w:val="1001"/>
        </w:numPr>
        <w:pStyle w:val="Compact"/>
      </w:pPr>
      <w:r>
        <w:rPr>
          <w:bCs/>
          <w:b/>
        </w:rPr>
        <w:t xml:space="preserve">Training:</w:t>
      </w:r>
      <w:r>
        <w:t xml:space="preserve"> </w:t>
      </w:r>
      <w:r>
        <w:t xml:space="preserve">The supplier shall provide two (2) on-site training sessions in Dakar for Firefighter personnel on the proper use, maintenance, and storage of the SCBA units, thermal imaging cameras, and hydraulic rescue tools. Training shall be conducted in French and English.</w:t>
      </w:r>
    </w:p>
    <w:p>
      <w:pPr>
        <w:numPr>
          <w:ilvl w:val="0"/>
          <w:numId w:val="1001"/>
        </w:numPr>
        <w:pStyle w:val="Compact"/>
      </w:pPr>
      <w:r>
        <w:rPr>
          <w:bCs/>
          <w:b/>
        </w:rPr>
        <w:t xml:space="preserve">Force Majeure:</w:t>
      </w:r>
      <w:r>
        <w:t xml:space="preserve"> </w:t>
      </w:r>
      <w:r>
        <w:t xml:space="preserve">Neither party shall be liable for delays caused by acts of God, war, government sanctions, or port closures affecting the Senegal Dakar region.</w:t>
      </w:r>
    </w:p>
    <w:p>
      <w:pPr>
        <w:numPr>
          <w:ilvl w:val="0"/>
          <w:numId w:val="1001"/>
        </w:numPr>
        <w:pStyle w:val="Compact"/>
      </w:pPr>
      <w:r>
        <w:rPr>
          <w:bCs/>
          <w:b/>
        </w:rPr>
        <w:t xml:space="preserve">Governing Law:</w:t>
      </w:r>
      <w:r>
        <w:t xml:space="preserve"> </w:t>
      </w:r>
      <w:r>
        <w:t xml:space="preserve">This Purchase Order shall be governed by the laws of the Republic of Senegal. Any disputes shall be resolved through arbitration in Dakar, Senegal, in accordance with the rules of the OHADA arbitration court.</w:t>
      </w:r>
    </w:p>
    <w:p>
      <w:pPr>
        <w:numPr>
          <w:ilvl w:val="0"/>
          <w:numId w:val="1001"/>
        </w:numPr>
        <w:pStyle w:val="Compact"/>
      </w:pPr>
      <w:r>
        <w:rPr>
          <w:bCs/>
          <w:b/>
        </w:rPr>
        <w:t xml:space="preserve">Confidentiality:</w:t>
      </w:r>
      <w:r>
        <w:t xml:space="preserve"> </w:t>
      </w:r>
      <w:r>
        <w:t xml:space="preserve">All specifications, pricing, and operational details contained in this Purchase Order are classified as sensitive government procurement documents of Senegal Dakar and shall not be disclosed to third parties without written consent.</w:t>
      </w:r>
    </w:p>
    <w:p>
      <w:pPr>
        <w:pStyle w:val="FirstParagraph"/>
      </w:pPr>
      <w:r>
        <w:t xml:space="preserve">5. AUTHORIZED SIGNATORIES</w:t>
      </w:r>
    </w:p>
    <w:p>
      <w:pPr>
        <w:pStyle w:val="BodyText"/>
      </w:pPr>
      <w:r>
        <w:rPr>
          <w:bCs/>
          <w:b/>
        </w:rPr>
        <w:t xml:space="preserve">For the Buyer (Senegal Dakar Fire Department):</w:t>
      </w:r>
    </w:p>
    <w:p>
      <w:pPr>
        <w:pStyle w:val="BodyText"/>
      </w:pPr>
      <w:r>
        <w:t xml:space="preserve">Name: Colonel Amadou Diop</w:t>
      </w:r>
      <w:r>
        <w:br/>
      </w:r>
      <w:r>
        <w:t xml:space="preserve">Title: Director of Procurement, Dakar Fire Services</w:t>
      </w:r>
      <w:r>
        <w:br/>
      </w:r>
      <w:r>
        <w:t xml:space="preserve">Signature: _________________________</w:t>
      </w:r>
      <w:r>
        <w:br/>
      </w:r>
      <w:r>
        <w:t xml:space="preserve">Date: _________________________</w:t>
      </w:r>
    </w:p>
    <w:p>
      <w:pPr>
        <w:pStyle w:val="BodyText"/>
      </w:pPr>
      <w:r>
        <w:rPr>
          <w:bCs/>
          <w:b/>
        </w:rPr>
        <w:t xml:space="preserve">For the Supplier (Global Fire Protection Solutions Ltd.):</w:t>
      </w:r>
    </w:p>
    <w:p>
      <w:pPr>
        <w:pStyle w:val="BodyText"/>
      </w:pPr>
      <w:r>
        <w:t xml:space="preserve">Name: Mr. Hendrik van der Berg</w:t>
      </w:r>
      <w:r>
        <w:br/>
      </w:r>
      <w:r>
        <w:t xml:space="preserve">Title: Chief Executive Officer</w:t>
      </w:r>
      <w:r>
        <w:br/>
      </w:r>
      <w:r>
        <w:t xml:space="preserve">Signature: _________________________</w:t>
      </w:r>
      <w:r>
        <w:br/>
      </w:r>
      <w:r>
        <w:t xml:space="preserve">Date: _________________________</w:t>
      </w:r>
    </w:p>
    <w:p>
      <w:pPr>
        <w:pStyle w:val="BodyText"/>
      </w:pPr>
      <w:r>
        <w:t xml:space="preserve">This Purchase Order (PO-SEN-DKR-2025-0472) is a binding procurement document for the supply of Firefighter equipment to the Dakar Fire Department, Senegal. This document is valid only when signed and stamped by both parties. Unauthorized reproduction or distribution is prohibited under Senegalese public procurement law (Loi n° 2016-09 du 21 février 2016).</w:t>
      </w:r>
    </w:p>
    <w:p>
      <w:pPr>
        <w:pStyle w:val="BodyText"/>
      </w:pPr>
      <w:r>
        <w:t xml:space="preserve">Page 1 of 1 — Generated: 15 June 2025 — Senegal Dakar Procurement Office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Firefighter Equipment - Senegal Dakar</dc:title>
  <dc:creator/>
  <dc:language>en</dc:language>
  <cp:keywords/>
  <dcterms:created xsi:type="dcterms:W3CDTF">2026-10-10T02:45:50Z</dcterms:created>
  <dcterms:modified xsi:type="dcterms:W3CDTF">2026-10-10T02:45:50Z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