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purchase-order"/>
    <w:p>
      <w:pPr>
        <w:pStyle w:val="Heading1"/>
      </w:pPr>
      <w:r>
        <w:t xml:space="preserve">PURCHASE ORDER</w:t>
      </w:r>
    </w:p>
    <w:p>
      <w:pPr>
        <w:pStyle w:val="FirstParagraph"/>
      </w:pPr>
      <w:r>
        <w:t xml:space="preserve">PO No.: AD-FIRE-2025-00472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Country of Destination:</w:t>
      </w:r>
      <w:r>
        <w:t xml:space="preserve"> </w:t>
      </w:r>
      <w:r>
        <w:t xml:space="preserve">United Arab Emirates Abu Dhabi</w:t>
      </w:r>
    </w:p>
    <w:p>
      <w:pPr>
        <w:pStyle w:val="BodyText"/>
      </w:pPr>
      <w:r>
        <w:rPr>
          <w:bCs/>
          <w:b/>
        </w:rPr>
        <w:t xml:space="preserve">Classification:</w:t>
      </w:r>
      <w:r>
        <w:t xml:space="preserve"> </w:t>
      </w:r>
      <w:r>
        <w:t xml:space="preserve">Firefighter Safety &amp; Operational Equipment</w:t>
      </w:r>
    </w:p>
    <w:bookmarkEnd w:id="20"/>
    <w:bookmarkStart w:id="21"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w:t>
            </w:r>
          </w:p>
        </w:tc>
        <w:tc>
          <w:tcPr/>
          <w:p>
            <w:pPr>
              <w:pStyle w:val="Compact"/>
              <w:jc w:val="left"/>
            </w:pPr>
            <w:r>
              <w:t xml:space="preserve">Abu Dhabi Fire &amp; Rescue Department, Department of Civil Defence, United Arab Emirates Abu Dhabi</w:t>
            </w:r>
          </w:p>
        </w:tc>
      </w:tr>
      <w:tr>
        <w:tc>
          <w:tcPr/>
          <w:p>
            <w:pPr>
              <w:pStyle w:val="Compact"/>
              <w:jc w:val="left"/>
            </w:pPr>
            <w:r>
              <w:t xml:space="preserve">Address</w:t>
            </w:r>
          </w:p>
        </w:tc>
        <w:tc>
          <w:tcPr/>
          <w:p>
            <w:pPr>
              <w:pStyle w:val="Compact"/>
              <w:jc w:val="left"/>
            </w:pPr>
            <w:r>
              <w:t xml:space="preserve">P.O. Box 10045, Al Markaziyah, Abu Dhabi, United Arab Emirates</w:t>
            </w:r>
          </w:p>
        </w:tc>
      </w:tr>
      <w:tr>
        <w:tc>
          <w:tcPr/>
          <w:p>
            <w:pPr>
              <w:pStyle w:val="Compact"/>
              <w:jc w:val="left"/>
            </w:pPr>
            <w:r>
              <w:t xml:space="preserve">Contact Person</w:t>
            </w:r>
          </w:p>
        </w:tc>
        <w:tc>
          <w:tcPr/>
          <w:p>
            <w:pPr>
              <w:pStyle w:val="Compact"/>
              <w:jc w:val="left"/>
            </w:pPr>
            <w:r>
              <w:t xml:space="preserve">Eng. Khalid Al Mansoori, Procurement Officer</w:t>
            </w:r>
          </w:p>
        </w:tc>
      </w:tr>
      <w:tr>
        <w:tc>
          <w:tcPr/>
          <w:p>
            <w:pPr>
              <w:pStyle w:val="Compact"/>
              <w:jc w:val="left"/>
            </w:pPr>
            <w:r>
              <w:t xml:space="preserve">Telephone</w:t>
            </w:r>
          </w:p>
        </w:tc>
        <w:tc>
          <w:tcPr/>
          <w:p>
            <w:pPr>
              <w:pStyle w:val="Compact"/>
              <w:jc w:val="left"/>
            </w:pPr>
            <w:r>
              <w:t xml:space="preserve">+971 2 444 5566</w:t>
            </w:r>
          </w:p>
        </w:tc>
      </w:tr>
      <w:tr>
        <w:tc>
          <w:tcPr/>
          <w:p>
            <w:pPr>
              <w:pStyle w:val="Compact"/>
              <w:jc w:val="left"/>
            </w:pPr>
            <w:r>
              <w:t xml:space="preserve">Email</w:t>
            </w:r>
          </w:p>
        </w:tc>
        <w:tc>
          <w:tcPr/>
          <w:p>
            <w:pPr>
              <w:pStyle w:val="Compact"/>
              <w:jc w:val="left"/>
            </w:pPr>
            <w:r>
              <w:t xml:space="preserve">procurement@adfire.ae</w:t>
            </w:r>
          </w:p>
        </w:tc>
      </w:tr>
      <w:tr>
        <w:tc>
          <w:tcPr/>
          <w:p>
            <w:pPr>
              <w:pStyle w:val="Compact"/>
              <w:jc w:val="left"/>
            </w:pPr>
            <w:r>
              <w:t xml:space="preserve">Tax / VAT Number</w:t>
            </w:r>
          </w:p>
        </w:tc>
        <w:tc>
          <w:tcPr/>
          <w:p>
            <w:pPr>
              <w:pStyle w:val="Compact"/>
              <w:jc w:val="left"/>
            </w:pPr>
            <w:r>
              <w:t xml:space="preserve">100234567800003</w:t>
            </w:r>
          </w:p>
        </w:tc>
      </w:tr>
    </w:tbl>
    <w:bookmarkEnd w:id="21"/>
    <w:bookmarkStart w:id="22" w:name="supplier-information"/>
    <w:p>
      <w:pPr>
        <w:pStyle w:val="Heading2"/>
      </w:pPr>
      <w:r>
        <w:t xml:space="preserve">2.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Gulf Safety &amp; Fire Protection LLC</w:t>
            </w:r>
          </w:p>
        </w:tc>
      </w:tr>
      <w:tr>
        <w:tc>
          <w:tcPr/>
          <w:p>
            <w:pPr>
              <w:pStyle w:val="Compact"/>
              <w:jc w:val="left"/>
            </w:pPr>
            <w:r>
              <w:t xml:space="preserve">Address</w:t>
            </w:r>
          </w:p>
        </w:tc>
        <w:tc>
          <w:tcPr/>
          <w:p>
            <w:pPr>
              <w:pStyle w:val="Compact"/>
              <w:jc w:val="left"/>
            </w:pPr>
            <w:r>
              <w:t xml:space="preserve">Plot 45, Industrial Area 2, Al Ain, United Arab Emirates Abu Dhabi Region</w:t>
            </w:r>
          </w:p>
        </w:tc>
      </w:tr>
      <w:tr>
        <w:tc>
          <w:tcPr/>
          <w:p>
            <w:pPr>
              <w:pStyle w:val="Compact"/>
              <w:jc w:val="left"/>
            </w:pPr>
            <w:r>
              <w:t xml:space="preserve">Contact Person</w:t>
            </w:r>
          </w:p>
        </w:tc>
        <w:tc>
          <w:tcPr/>
          <w:p>
            <w:pPr>
              <w:pStyle w:val="Compact"/>
              <w:jc w:val="left"/>
            </w:pPr>
            <w:r>
              <w:t xml:space="preserve">Mr. Rajesh Kumar, Sales Director</w:t>
            </w:r>
          </w:p>
        </w:tc>
      </w:tr>
      <w:tr>
        <w:tc>
          <w:tcPr/>
          <w:p>
            <w:pPr>
              <w:pStyle w:val="Compact"/>
              <w:jc w:val="left"/>
            </w:pPr>
            <w:r>
              <w:t xml:space="preserve">Telephone</w:t>
            </w:r>
          </w:p>
        </w:tc>
        <w:tc>
          <w:tcPr/>
          <w:p>
            <w:pPr>
              <w:pStyle w:val="Compact"/>
              <w:jc w:val="left"/>
            </w:pPr>
            <w:r>
              <w:t xml:space="preserve">+971 2 667 8899</w:t>
            </w:r>
          </w:p>
        </w:tc>
      </w:tr>
      <w:tr>
        <w:tc>
          <w:tcPr/>
          <w:p>
            <w:pPr>
              <w:pStyle w:val="Compact"/>
              <w:jc w:val="left"/>
            </w:pPr>
            <w:r>
              <w:t xml:space="preserve">Email</w:t>
            </w:r>
          </w:p>
        </w:tc>
        <w:tc>
          <w:tcPr/>
          <w:p>
            <w:pPr>
              <w:pStyle w:val="Compact"/>
              <w:jc w:val="left"/>
            </w:pPr>
            <w:r>
              <w:t xml:space="preserve">sales@gulfsafetyfire.ae</w:t>
            </w:r>
          </w:p>
        </w:tc>
      </w:tr>
      <w:tr>
        <w:tc>
          <w:tcPr/>
          <w:p>
            <w:pPr>
              <w:pStyle w:val="Compact"/>
              <w:jc w:val="left"/>
            </w:pPr>
            <w:r>
              <w:t xml:space="preserve">Trade License No.</w:t>
            </w:r>
          </w:p>
        </w:tc>
        <w:tc>
          <w:tcPr/>
          <w:p>
            <w:pPr>
              <w:pStyle w:val="Compact"/>
              <w:jc w:val="left"/>
            </w:pPr>
            <w:r>
              <w:t xml:space="preserve">AD-TC-2019-88341</w:t>
            </w:r>
          </w:p>
        </w:tc>
      </w:tr>
    </w:tbl>
    <w:bookmarkEnd w:id="22"/>
    <w:bookmarkStart w:id="23" w:name="X61c54b1d914f50a2d64045ff3fbca5d08c0517e"/>
    <w:p>
      <w:pPr>
        <w:pStyle w:val="Heading2"/>
      </w:pPr>
      <w:r>
        <w:t xml:space="preserve">3. Purchase Order Line Items – Firefighter Equipment</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 / Standard</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Firefighter Turnout Jacket (Nomex-based, 3-layer)</w:t>
            </w:r>
          </w:p>
        </w:tc>
        <w:tc>
          <w:tcPr/>
          <w:p>
            <w:pPr>
              <w:pStyle w:val="Compact"/>
              <w:jc w:val="left"/>
            </w:pPr>
            <w:r>
              <w:t xml:space="preserve">EN 469:2020 / NFPA 2112</w:t>
            </w:r>
          </w:p>
        </w:tc>
        <w:tc>
          <w:tcPr/>
          <w:p>
            <w:pPr>
              <w:pStyle w:val="Compact"/>
              <w:jc w:val="left"/>
            </w:pPr>
            <w:r>
              <w:t xml:space="preserve">250</w:t>
            </w:r>
          </w:p>
        </w:tc>
        <w:tc>
          <w:tcPr/>
          <w:p>
            <w:pPr>
              <w:pStyle w:val="Compact"/>
              <w:jc w:val="left"/>
            </w:pPr>
            <w:r>
              <w:t xml:space="preserve">Pcs</w:t>
            </w:r>
          </w:p>
        </w:tc>
        <w:tc>
          <w:tcPr/>
          <w:p>
            <w:pPr>
              <w:pStyle w:val="Compact"/>
              <w:jc w:val="left"/>
            </w:pPr>
            <w:r>
              <w:t xml:space="preserve">2,850.00</w:t>
            </w:r>
          </w:p>
        </w:tc>
        <w:tc>
          <w:tcPr/>
          <w:p>
            <w:pPr>
              <w:pStyle w:val="Compact"/>
              <w:jc w:val="left"/>
            </w:pPr>
            <w:r>
              <w:t xml:space="preserve">712,500.00</w:t>
            </w:r>
          </w:p>
        </w:tc>
      </w:tr>
      <w:tr>
        <w:tc>
          <w:tcPr/>
          <w:p>
            <w:pPr>
              <w:pStyle w:val="Compact"/>
              <w:jc w:val="left"/>
            </w:pPr>
            <w:r>
              <w:t xml:space="preserve">02</w:t>
            </w:r>
          </w:p>
        </w:tc>
        <w:tc>
          <w:tcPr/>
          <w:p>
            <w:pPr>
              <w:pStyle w:val="Compact"/>
              <w:jc w:val="left"/>
            </w:pPr>
            <w:r>
              <w:t xml:space="preserve">Firefighter Turnout Trousers (Nomex-based, 3-layer)</w:t>
            </w:r>
          </w:p>
        </w:tc>
        <w:tc>
          <w:tcPr/>
          <w:p>
            <w:pPr>
              <w:pStyle w:val="Compact"/>
              <w:jc w:val="left"/>
            </w:pPr>
            <w:r>
              <w:t xml:space="preserve">EN 469:2020 / NFPA 2112</w:t>
            </w:r>
          </w:p>
        </w:tc>
        <w:tc>
          <w:tcPr/>
          <w:p>
            <w:pPr>
              <w:pStyle w:val="Compact"/>
              <w:jc w:val="left"/>
            </w:pPr>
            <w:r>
              <w:t xml:space="preserve">250</w:t>
            </w:r>
          </w:p>
        </w:tc>
        <w:tc>
          <w:tcPr/>
          <w:p>
            <w:pPr>
              <w:pStyle w:val="Compact"/>
              <w:jc w:val="left"/>
            </w:pPr>
            <w:r>
              <w:t xml:space="preserve">Pcs</w:t>
            </w:r>
          </w:p>
        </w:tc>
        <w:tc>
          <w:tcPr/>
          <w:p>
            <w:pPr>
              <w:pStyle w:val="Compact"/>
              <w:jc w:val="left"/>
            </w:pPr>
            <w:r>
              <w:t xml:space="preserve">2,450.00</w:t>
            </w:r>
          </w:p>
        </w:tc>
        <w:tc>
          <w:tcPr/>
          <w:p>
            <w:pPr>
              <w:pStyle w:val="Compact"/>
              <w:jc w:val="left"/>
            </w:pPr>
            <w:r>
              <w:t xml:space="preserve">612,500.00</w:t>
            </w:r>
          </w:p>
        </w:tc>
      </w:tr>
      <w:tr>
        <w:tc>
          <w:tcPr/>
          <w:p>
            <w:pPr>
              <w:pStyle w:val="Compact"/>
              <w:jc w:val="left"/>
            </w:pPr>
            <w:r>
              <w:t xml:space="preserve">03</w:t>
            </w:r>
          </w:p>
        </w:tc>
        <w:tc>
          <w:tcPr/>
          <w:p>
            <w:pPr>
              <w:pStyle w:val="Compact"/>
              <w:jc w:val="left"/>
            </w:pPr>
            <w:r>
              <w:t xml:space="preserve">Firefighter Structural Helmet with Face Shield</w:t>
            </w:r>
          </w:p>
        </w:tc>
        <w:tc>
          <w:tcPr/>
          <w:p>
            <w:pPr>
              <w:pStyle w:val="Compact"/>
              <w:jc w:val="left"/>
            </w:pPr>
            <w:r>
              <w:t xml:space="preserve">EN 443:2008 / NFPA 1971</w:t>
            </w:r>
          </w:p>
        </w:tc>
        <w:tc>
          <w:tcPr/>
          <w:p>
            <w:pPr>
              <w:pStyle w:val="Compact"/>
              <w:jc w:val="left"/>
            </w:pPr>
            <w:r>
              <w:t xml:space="preserve">250</w:t>
            </w:r>
          </w:p>
        </w:tc>
        <w:tc>
          <w:tcPr/>
          <w:p>
            <w:pPr>
              <w:pStyle w:val="Compact"/>
              <w:jc w:val="left"/>
            </w:pPr>
            <w:r>
              <w:t xml:space="preserve">Pcs</w:t>
            </w:r>
          </w:p>
        </w:tc>
        <w:tc>
          <w:tcPr/>
          <w:p>
            <w:pPr>
              <w:pStyle w:val="Compact"/>
              <w:jc w:val="left"/>
            </w:pPr>
            <w:r>
              <w:t xml:space="preserve">1,200.00</w:t>
            </w:r>
          </w:p>
        </w:tc>
        <w:tc>
          <w:tcPr/>
          <w:p>
            <w:pPr>
              <w:pStyle w:val="Compact"/>
              <w:jc w:val="left"/>
            </w:pPr>
            <w:r>
              <w:t xml:space="preserve">300,000.00</w:t>
            </w:r>
          </w:p>
        </w:tc>
      </w:tr>
      <w:tr>
        <w:tc>
          <w:tcPr/>
          <w:p>
            <w:pPr>
              <w:pStyle w:val="Compact"/>
              <w:jc w:val="left"/>
            </w:pPr>
            <w:r>
              <w:t xml:space="preserve">04</w:t>
            </w:r>
          </w:p>
        </w:tc>
        <w:tc>
          <w:tcPr/>
          <w:p>
            <w:pPr>
              <w:pStyle w:val="Compact"/>
              <w:jc w:val="left"/>
            </w:pPr>
            <w:r>
              <w:t xml:space="preserve">Firefighter Self-Contained Breathing Apparatus (SCBA) 30-min</w:t>
            </w:r>
          </w:p>
        </w:tc>
        <w:tc>
          <w:tcPr/>
          <w:p>
            <w:pPr>
              <w:pStyle w:val="Compact"/>
              <w:jc w:val="left"/>
            </w:pPr>
            <w:r>
              <w:t xml:space="preserve">EN 137:2006 / NFPA 1981</w:t>
            </w:r>
          </w:p>
        </w:tc>
        <w:tc>
          <w:tcPr/>
          <w:p>
            <w:pPr>
              <w:pStyle w:val="Compact"/>
              <w:jc w:val="left"/>
            </w:pPr>
            <w:r>
              <w:t xml:space="preserve">120</w:t>
            </w:r>
          </w:p>
        </w:tc>
        <w:tc>
          <w:tcPr/>
          <w:p>
            <w:pPr>
              <w:pStyle w:val="Compact"/>
              <w:jc w:val="left"/>
            </w:pPr>
            <w:r>
              <w:t xml:space="preserve">Units</w:t>
            </w:r>
          </w:p>
        </w:tc>
        <w:tc>
          <w:tcPr/>
          <w:p>
            <w:pPr>
              <w:pStyle w:val="Compact"/>
              <w:jc w:val="left"/>
            </w:pPr>
            <w:r>
              <w:t xml:space="preserve">8,500.00</w:t>
            </w:r>
          </w:p>
        </w:tc>
        <w:tc>
          <w:tcPr/>
          <w:p>
            <w:pPr>
              <w:pStyle w:val="Compact"/>
              <w:jc w:val="left"/>
            </w:pPr>
            <w:r>
              <w:t xml:space="preserve">1,020,000.00</w:t>
            </w:r>
          </w:p>
        </w:tc>
      </w:tr>
      <w:tr>
        <w:tc>
          <w:tcPr/>
          <w:p>
            <w:pPr>
              <w:pStyle w:val="Compact"/>
              <w:jc w:val="left"/>
            </w:pPr>
            <w:r>
              <w:t xml:space="preserve">05</w:t>
            </w:r>
          </w:p>
        </w:tc>
        <w:tc>
          <w:tcPr/>
          <w:p>
            <w:pPr>
              <w:pStyle w:val="Compact"/>
              <w:jc w:val="left"/>
            </w:pPr>
            <w:r>
              <w:t xml:space="preserve">Firefighter Safety Gloves (Heat &amp; Cut Resistant)</w:t>
            </w:r>
          </w:p>
        </w:tc>
        <w:tc>
          <w:tcPr/>
          <w:p>
            <w:pPr>
              <w:pStyle w:val="Compact"/>
              <w:jc w:val="left"/>
            </w:pPr>
            <w:r>
              <w:t xml:space="preserve">EN 407 / EN 388</w:t>
            </w:r>
          </w:p>
        </w:tc>
        <w:tc>
          <w:tcPr/>
          <w:p>
            <w:pPr>
              <w:pStyle w:val="Compact"/>
              <w:jc w:val="left"/>
            </w:pPr>
            <w:r>
              <w:t xml:space="preserve">500</w:t>
            </w:r>
          </w:p>
        </w:tc>
        <w:tc>
          <w:tcPr/>
          <w:p>
            <w:pPr>
              <w:pStyle w:val="Compact"/>
              <w:jc w:val="left"/>
            </w:pPr>
            <w:r>
              <w:t xml:space="preserve">Pairs</w:t>
            </w:r>
          </w:p>
        </w:tc>
        <w:tc>
          <w:tcPr/>
          <w:p>
            <w:pPr>
              <w:pStyle w:val="Compact"/>
              <w:jc w:val="left"/>
            </w:pPr>
            <w:r>
              <w:t xml:space="preserve">380.00</w:t>
            </w:r>
          </w:p>
        </w:tc>
        <w:tc>
          <w:tcPr/>
          <w:p>
            <w:pPr>
              <w:pStyle w:val="Compact"/>
              <w:jc w:val="left"/>
            </w:pPr>
            <w:r>
              <w:t xml:space="preserve">190,000.00</w:t>
            </w:r>
          </w:p>
        </w:tc>
      </w:tr>
      <w:tr>
        <w:tc>
          <w:tcPr/>
          <w:p>
            <w:pPr>
              <w:pStyle w:val="Compact"/>
              <w:jc w:val="left"/>
            </w:pPr>
            <w:r>
              <w:t xml:space="preserve">06</w:t>
            </w:r>
          </w:p>
        </w:tc>
        <w:tc>
          <w:tcPr/>
          <w:p>
            <w:pPr>
              <w:pStyle w:val="Compact"/>
              <w:jc w:val="left"/>
            </w:pPr>
            <w:r>
              <w:t xml:space="preserve">Firefighter Safety Boots (Metatarsal Guard, 32°C Heat)</w:t>
            </w:r>
          </w:p>
        </w:tc>
        <w:tc>
          <w:tcPr/>
          <w:p>
            <w:pPr>
              <w:pStyle w:val="Compact"/>
              <w:jc w:val="left"/>
            </w:pPr>
            <w:r>
              <w:t xml:space="preserve">EN 20345 S3 / EN 20347</w:t>
            </w:r>
          </w:p>
        </w:tc>
        <w:tc>
          <w:tcPr/>
          <w:p>
            <w:pPr>
              <w:pStyle w:val="Compact"/>
              <w:jc w:val="left"/>
            </w:pPr>
            <w:r>
              <w:t xml:space="preserve">250</w:t>
            </w:r>
          </w:p>
        </w:tc>
        <w:tc>
          <w:tcPr/>
          <w:p>
            <w:pPr>
              <w:pStyle w:val="Compact"/>
              <w:jc w:val="left"/>
            </w:pPr>
            <w:r>
              <w:t xml:space="preserve">Pairs</w:t>
            </w:r>
          </w:p>
        </w:tc>
        <w:tc>
          <w:tcPr/>
          <w:p>
            <w:pPr>
              <w:pStyle w:val="Compact"/>
              <w:jc w:val="left"/>
            </w:pPr>
            <w:r>
              <w:t xml:space="preserve">950.00</w:t>
            </w:r>
          </w:p>
        </w:tc>
        <w:tc>
          <w:tcPr/>
          <w:p>
            <w:pPr>
              <w:pStyle w:val="Compact"/>
              <w:jc w:val="left"/>
            </w:pPr>
            <w:r>
              <w:t xml:space="preserve">237,500.00</w:t>
            </w:r>
          </w:p>
        </w:tc>
      </w:tr>
      <w:tr>
        <w:tc>
          <w:tcPr/>
          <w:p>
            <w:pPr>
              <w:pStyle w:val="Compact"/>
              <w:jc w:val="left"/>
            </w:pPr>
            <w:r>
              <w:t xml:space="preserve">07</w:t>
            </w:r>
          </w:p>
        </w:tc>
        <w:tc>
          <w:tcPr/>
          <w:p>
            <w:pPr>
              <w:pStyle w:val="Compact"/>
              <w:jc w:val="left"/>
            </w:pPr>
            <w:r>
              <w:t xml:space="preserve">Firefighter Proximity &amp; Thermal Imaging Camera Set</w:t>
            </w:r>
          </w:p>
        </w:tc>
        <w:tc>
          <w:tcPr/>
          <w:p>
            <w:pPr>
              <w:pStyle w:val="Compact"/>
              <w:jc w:val="left"/>
            </w:pPr>
            <w:r>
              <w:t xml:space="preserve">EN 13633 / ISO 22168</w:t>
            </w:r>
          </w:p>
        </w:tc>
        <w:tc>
          <w:tcPr/>
          <w:p>
            <w:pPr>
              <w:pStyle w:val="Compact"/>
              <w:jc w:val="left"/>
            </w:pPr>
            <w:r>
              <w:t xml:space="preserve">40</w:t>
            </w:r>
          </w:p>
        </w:tc>
        <w:tc>
          <w:tcPr/>
          <w:p>
            <w:pPr>
              <w:pStyle w:val="Compact"/>
              <w:jc w:val="left"/>
            </w:pPr>
            <w:r>
              <w:t xml:space="preserve">Sets</w:t>
            </w:r>
          </w:p>
        </w:tc>
        <w:tc>
          <w:tcPr/>
          <w:p>
            <w:pPr>
              <w:pStyle w:val="Compact"/>
              <w:jc w:val="left"/>
            </w:pPr>
            <w:r>
              <w:t xml:space="preserve">12,750.00</w:t>
            </w:r>
          </w:p>
        </w:tc>
        <w:tc>
          <w:tcPr/>
          <w:p>
            <w:pPr>
              <w:pStyle w:val="Compact"/>
              <w:jc w:val="left"/>
            </w:pPr>
            <w:r>
              <w:t xml:space="preserve">510,000.00</w:t>
            </w:r>
          </w:p>
        </w:tc>
      </w:tr>
      <w:tr>
        <w:tc>
          <w:tcPr/>
          <w:p>
            <w:pPr>
              <w:pStyle w:val="Compact"/>
              <w:jc w:val="left"/>
            </w:pPr>
            <w:r>
              <w:t xml:space="preserve">08</w:t>
            </w:r>
          </w:p>
        </w:tc>
        <w:tc>
          <w:tcPr/>
          <w:p>
            <w:pPr>
              <w:pStyle w:val="Compact"/>
              <w:jc w:val="left"/>
            </w:pPr>
            <w:r>
              <w:t xml:space="preserve">Firefighter Emergency Escape Breathing Apparatus (EEBA)</w:t>
            </w:r>
          </w:p>
        </w:tc>
        <w:tc>
          <w:tcPr/>
          <w:p>
            <w:pPr>
              <w:pStyle w:val="Compact"/>
              <w:jc w:val="left"/>
            </w:pPr>
            <w:r>
              <w:t xml:space="preserve">EN 403:2004</w:t>
            </w:r>
          </w:p>
        </w:tc>
        <w:tc>
          <w:tcPr/>
          <w:p>
            <w:pPr>
              <w:pStyle w:val="Compact"/>
              <w:jc w:val="left"/>
            </w:pPr>
            <w:r>
              <w:t xml:space="preserve">250</w:t>
            </w:r>
          </w:p>
        </w:tc>
        <w:tc>
          <w:tcPr/>
          <w:p>
            <w:pPr>
              <w:pStyle w:val="Compact"/>
              <w:jc w:val="left"/>
            </w:pPr>
            <w:r>
              <w:t xml:space="preserve">Units</w:t>
            </w:r>
          </w:p>
        </w:tc>
        <w:tc>
          <w:tcPr/>
          <w:p>
            <w:pPr>
              <w:pStyle w:val="Compact"/>
              <w:jc w:val="left"/>
            </w:pPr>
            <w:r>
              <w:t xml:space="preserve">680.00</w:t>
            </w:r>
          </w:p>
        </w:tc>
        <w:tc>
          <w:tcPr/>
          <w:p>
            <w:pPr>
              <w:pStyle w:val="Compact"/>
              <w:jc w:val="left"/>
            </w:pPr>
            <w:r>
              <w:t xml:space="preserve">170,000.00</w:t>
            </w:r>
          </w:p>
        </w:tc>
      </w:tr>
      <w:tr>
        <w:tc>
          <w:tcPr/>
          <w:p>
            <w:pPr>
              <w:pStyle w:val="Compact"/>
              <w:jc w:val="left"/>
            </w:pPr>
            <w:r>
              <w:t xml:space="preserve">09</w:t>
            </w:r>
          </w:p>
        </w:tc>
        <w:tc>
          <w:tcPr/>
          <w:p>
            <w:pPr>
              <w:pStyle w:val="Compact"/>
              <w:jc w:val="left"/>
            </w:pPr>
            <w:r>
              <w:t xml:space="preserve">Firefighter Reflective Safety Vest (High-Visibility)</w:t>
            </w:r>
          </w:p>
        </w:tc>
        <w:tc>
          <w:tcPr/>
          <w:p>
            <w:pPr>
              <w:pStyle w:val="Compact"/>
              <w:jc w:val="left"/>
            </w:pPr>
            <w:r>
              <w:t xml:space="preserve">EN ISO 20471 Class 3</w:t>
            </w:r>
          </w:p>
        </w:tc>
        <w:tc>
          <w:tcPr/>
          <w:p>
            <w:pPr>
              <w:pStyle w:val="Compact"/>
              <w:jc w:val="left"/>
            </w:pPr>
            <w:r>
              <w:t xml:space="preserve">500</w:t>
            </w:r>
          </w:p>
        </w:tc>
        <w:tc>
          <w:tcPr/>
          <w:p>
            <w:pPr>
              <w:pStyle w:val="Compact"/>
              <w:jc w:val="left"/>
            </w:pPr>
            <w:r>
              <w:t xml:space="preserve">Pcs</w:t>
            </w:r>
          </w:p>
        </w:tc>
        <w:tc>
          <w:tcPr/>
          <w:p>
            <w:pPr>
              <w:pStyle w:val="Compact"/>
              <w:jc w:val="left"/>
            </w:pPr>
            <w:r>
              <w:t xml:space="preserve">120.00</w:t>
            </w:r>
          </w:p>
        </w:tc>
        <w:tc>
          <w:tcPr/>
          <w:p>
            <w:pPr>
              <w:pStyle w:val="Compact"/>
              <w:jc w:val="left"/>
            </w:pPr>
            <w:r>
              <w:t xml:space="preserve">60,000.00</w:t>
            </w:r>
          </w:p>
        </w:tc>
      </w:tr>
      <w:tr>
        <w:tc>
          <w:tcPr/>
          <w:p>
            <w:pPr>
              <w:pStyle w:val="Compact"/>
              <w:jc w:val="left"/>
            </w:pPr>
            <w:r>
              <w:t xml:space="preserve">10</w:t>
            </w:r>
          </w:p>
        </w:tc>
        <w:tc>
          <w:tcPr/>
          <w:p>
            <w:pPr>
              <w:pStyle w:val="Compact"/>
              <w:jc w:val="left"/>
            </w:pPr>
            <w:r>
              <w:t xml:space="preserve">Firefighter Radio Communication Set (UHF 400-470 MHz)</w:t>
            </w:r>
          </w:p>
        </w:tc>
        <w:tc>
          <w:tcPr/>
          <w:p>
            <w:pPr>
              <w:pStyle w:val="Compact"/>
              <w:jc w:val="left"/>
            </w:pPr>
            <w:r>
              <w:t xml:space="preserve">ETSI EN 300 221 / IP67</w:t>
            </w:r>
          </w:p>
        </w:tc>
        <w:tc>
          <w:tcPr/>
          <w:p>
            <w:pPr>
              <w:pStyle w:val="Compact"/>
              <w:jc w:val="left"/>
            </w:pPr>
            <w:r>
              <w:t xml:space="preserve">120</w:t>
            </w:r>
          </w:p>
        </w:tc>
        <w:tc>
          <w:tcPr/>
          <w:p>
            <w:pPr>
              <w:pStyle w:val="Compact"/>
              <w:jc w:val="left"/>
            </w:pPr>
            <w:r>
              <w:t xml:space="preserve">Units</w:t>
            </w:r>
          </w:p>
        </w:tc>
        <w:tc>
          <w:tcPr/>
          <w:p>
            <w:pPr>
              <w:pStyle w:val="Compact"/>
              <w:jc w:val="left"/>
            </w:pPr>
            <w:r>
              <w:t xml:space="preserve">3,200.00</w:t>
            </w:r>
          </w:p>
        </w:tc>
        <w:tc>
          <w:tcPr/>
          <w:p>
            <w:pPr>
              <w:pStyle w:val="Compact"/>
              <w:jc w:val="left"/>
            </w:pPr>
            <w:r>
              <w:t xml:space="preserve">384,000.00</w:t>
            </w:r>
          </w:p>
        </w:tc>
      </w:tr>
      <w:tr>
        <w:tc>
          <w:tcPr>
            <w:gridSpan w:val="6"/>
          </w:tcPr>
          <w:p>
            <w:pPr>
              <w:pStyle w:val="Compact"/>
              <w:jc w:val="right"/>
            </w:pPr>
            <w:r>
              <w:t xml:space="preserve">SUBTOTAL</w:t>
            </w:r>
          </w:p>
        </w:tc>
        <w:tc>
          <w:tcPr/>
          <w:p>
            <w:pPr>
              <w:pStyle w:val="Compact"/>
              <w:jc w:val="left"/>
            </w:pPr>
            <w:r>
              <w:t xml:space="preserve">4,196,500.00</w:t>
            </w:r>
          </w:p>
        </w:tc>
      </w:tr>
      <w:tr>
        <w:tc>
          <w:tcPr>
            <w:gridSpan w:val="6"/>
          </w:tcPr>
          <w:p>
            <w:pPr>
              <w:pStyle w:val="Compact"/>
              <w:jc w:val="right"/>
            </w:pPr>
            <w:r>
              <w:t xml:space="preserve">VAT (5% – United Arab Emirates)</w:t>
            </w:r>
          </w:p>
        </w:tc>
        <w:tc>
          <w:tcPr/>
          <w:p>
            <w:pPr>
              <w:pStyle w:val="Compact"/>
              <w:jc w:val="left"/>
            </w:pPr>
            <w:r>
              <w:t xml:space="preserve">209,825.00</w:t>
            </w:r>
          </w:p>
        </w:tc>
      </w:tr>
      <w:tr>
        <w:tc>
          <w:tcPr>
            <w:gridSpan w:val="6"/>
          </w:tcPr>
          <w:p>
            <w:pPr>
              <w:pStyle w:val="Compact"/>
              <w:jc w:val="right"/>
            </w:pPr>
            <w:r>
              <w:t xml:space="preserve">GRAND TOTAL (AED)</w:t>
            </w:r>
          </w:p>
        </w:tc>
        <w:tc>
          <w:tcPr/>
          <w:p>
            <w:pPr>
              <w:pStyle w:val="Compact"/>
              <w:jc w:val="left"/>
            </w:pPr>
            <w:r>
              <w:t xml:space="preserve">4,406,325.00</w:t>
            </w:r>
          </w:p>
        </w:tc>
      </w:tr>
    </w:tbl>
    <w:bookmarkEnd w:id="23"/>
    <w:bookmarkStart w:id="24" w:name="delivery-terms"/>
    <w:p>
      <w:pPr>
        <w:pStyle w:val="Heading2"/>
      </w:pPr>
      <w:r>
        <w:t xml:space="preserve">4. Delivery Terms</w:t>
      </w:r>
    </w:p>
    <w:p>
      <w:pPr>
        <w:pStyle w:val="FirstParagraph"/>
      </w:pPr>
      <w:r>
        <w:rPr>
          <w:bCs/>
          <w:b/>
        </w:rPr>
        <w:t xml:space="preserve">Delivery Location:</w:t>
      </w:r>
      <w:r>
        <w:t xml:space="preserve"> </w:t>
      </w:r>
      <w:r>
        <w:t xml:space="preserve">Abu Dhabi Fire &amp; Rescue Department Main Depot, Al Markaziyah, United Arab Emirates Abu Dhabi.</w:t>
      </w:r>
      <w:r>
        <w:br/>
      </w:r>
      <w:r>
        <w:rPr>
          <w:bCs/>
          <w:b/>
        </w:rPr>
        <w:t xml:space="preserve">Delivery Deadline:</w:t>
      </w:r>
      <w:r>
        <w:t xml:space="preserve"> </w:t>
      </w:r>
      <w:r>
        <w:t xml:space="preserve">All Firefighter equipment listed in this Purchase Order shall be delivered no later than 30 August 2025.</w:t>
      </w:r>
      <w:r>
        <w:br/>
      </w:r>
      <w:r>
        <w:rPr>
          <w:bCs/>
          <w:b/>
        </w:rPr>
        <w:t xml:space="preserve">Incoterms:</w:t>
      </w:r>
      <w:r>
        <w:t xml:space="preserve"> </w:t>
      </w:r>
      <w:r>
        <w:t xml:space="preserve">DDP (Delivered Duty Paid) – United Arab Emirates Abu Dhabi.</w:t>
      </w:r>
      <w:r>
        <w:br/>
      </w:r>
      <w:r>
        <w:rPr>
          <w:bCs/>
          <w:b/>
        </w:rPr>
        <w:t xml:space="preserve">Packaging:</w:t>
      </w:r>
      <w:r>
        <w:t xml:space="preserve"> </w:t>
      </w:r>
      <w:r>
        <w:t xml:space="preserve">All items must be factory-sealed, moisture-protected, and clearly labelled with the Purchase Order number and item reference. Packaging must comply with UAE customs and civil defence import regulations.</w:t>
      </w:r>
    </w:p>
    <w:bookmarkEnd w:id="24"/>
    <w:bookmarkStart w:id="25" w:name="payment-terms"/>
    <w:p>
      <w:pPr>
        <w:pStyle w:val="Heading2"/>
      </w:pPr>
      <w:r>
        <w:t xml:space="preserve">5. Payment Terms</w:t>
      </w:r>
    </w:p>
    <w:p>
      <w:pPr>
        <w:pStyle w:val="FirstParagraph"/>
      </w:pPr>
      <w:r>
        <w:rPr>
          <w:bCs/>
          <w:b/>
        </w:rPr>
        <w:t xml:space="preserve">Payment Method:</w:t>
      </w:r>
      <w:r>
        <w:t xml:space="preserve"> </w:t>
      </w:r>
      <w:r>
        <w:t xml:space="preserve">Bank Transfer (T/T) to the supplier's designated UAE bank account.</w:t>
      </w:r>
      <w:r>
        <w:br/>
      </w:r>
      <w:r>
        <w:rPr>
          <w:bCs/>
          <w:b/>
        </w:rPr>
        <w:t xml:space="preserve">Payment Schedule:</w:t>
      </w:r>
      <w:r>
        <w:br/>
      </w:r>
      <w:r>
        <w:t xml:space="preserve">• 30% advance payment upon acceptance of this Purchase Order.</w:t>
      </w:r>
      <w:r>
        <w:br/>
      </w:r>
      <w:r>
        <w:t xml:space="preserve">• 60% upon delivery and successful inspection of all Firefighter equipment at the Abu Dhabi depot.</w:t>
      </w:r>
      <w:r>
        <w:br/>
      </w:r>
      <w:r>
        <w:t xml:space="preserve">• 10% retention payment within 30 days after final acceptance and commissioning.</w:t>
      </w:r>
      <w:r>
        <w:br/>
      </w:r>
      <w:r>
        <w:rPr>
          <w:bCs/>
          <w:b/>
        </w:rPr>
        <w:t xml:space="preserve">Bank Details:</w:t>
      </w:r>
      <w:r>
        <w:t xml:space="preserve"> </w:t>
      </w:r>
      <w:r>
        <w:t xml:space="preserve">Gulf Safety &amp; Fire Protection LLC, Emirates NBD, Account No. 002-456789-001, SWIFT: EMIBAEAD.</w:t>
      </w:r>
      <w:r>
        <w:br/>
      </w:r>
      <w:r>
        <w:rPr>
          <w:bCs/>
          <w:b/>
        </w:rPr>
        <w:t xml:space="preserve">Currency:</w:t>
      </w:r>
      <w:r>
        <w:t xml:space="preserve"> </w:t>
      </w:r>
      <w:r>
        <w:t xml:space="preserve">All amounts are denominated in United Arab Emirates Dirhams (AED).</w:t>
      </w:r>
    </w:p>
    <w:bookmarkEnd w:id="25"/>
    <w:bookmarkStart w:id="26" w:name="quality-assurance-compliance"/>
    <w:p>
      <w:pPr>
        <w:pStyle w:val="Heading2"/>
      </w:pPr>
      <w:r>
        <w:t xml:space="preserve">6. Quality Assurance &amp; Compliance</w:t>
      </w:r>
    </w:p>
    <w:p>
      <w:pPr>
        <w:pStyle w:val="FirstParagraph"/>
      </w:pPr>
      <w:r>
        <w:t xml:space="preserve">All Firefighter equipment supplied under this Purchase Order must meet or exceed the standards referenced in Section 3. The supplier shall provide, at the time of delivery, the following documentation for each item:</w:t>
      </w:r>
    </w:p>
    <w:p>
      <w:pPr>
        <w:pStyle w:val="BodyText"/>
      </w:pPr>
      <w:r>
        <w:t xml:space="preserve">• Manufacturer's Certificate of Conformity (CoC).</w:t>
      </w:r>
      <w:r>
        <w:br/>
      </w:r>
      <w:r>
        <w:t xml:space="preserve">• Test reports from an accredited third-party laboratory (e.g., UL, SGS, or Intertek).</w:t>
      </w:r>
      <w:r>
        <w:br/>
      </w:r>
      <w:r>
        <w:t xml:space="preserve">• Material Safety Data Sheets (MSDS) where applicable.</w:t>
      </w:r>
      <w:r>
        <w:br/>
      </w:r>
      <w:r>
        <w:t xml:space="preserve">• Warranty certificates (minimum 24 months from date of delivery).</w:t>
      </w:r>
      <w:r>
        <w:br/>
      </w:r>
      <w:r>
        <w:t xml:space="preserve">• Compliance declaration confirming adherence to UAE Civil Defence regulations and Abu Dhabi Municipality safety codes.</w:t>
      </w:r>
    </w:p>
    <w:p>
      <w:pPr>
        <w:pStyle w:val="BodyText"/>
      </w:pPr>
      <w:r>
        <w:rPr>
          <w:bCs/>
          <w:b/>
        </w:rPr>
        <w:t xml:space="preserve">Note:</w:t>
      </w:r>
      <w:r>
        <w:t xml:space="preserve"> </w:t>
      </w:r>
      <w:r>
        <w:t xml:space="preserve">The United Arab Emirates Abu Dhabi Civil Defence Authority reserves the right to conduct random quality inspections at the point of delivery. Any Firefighter equipment found non-compliant with the specified standards shall be rejected at the supplier's cost, and replacement units must be delivered within 14 calendar days.</w:t>
      </w:r>
    </w:p>
    <w:bookmarkEnd w:id="26"/>
    <w:bookmarkStart w:id="27" w:name="terms-conditions"/>
    <w:p>
      <w:pPr>
        <w:pStyle w:val="Heading2"/>
      </w:pPr>
      <w:r>
        <w:t xml:space="preserve">7. Terms &amp; Conditions</w:t>
      </w:r>
    </w:p>
    <w:p>
      <w:pPr>
        <w:pStyle w:val="FirstParagraph"/>
      </w:pPr>
      <w:r>
        <w:t xml:space="preserve">1. This Purchase Order constitutes a binding agreement between the Buyer and the Supplier upon signature by both parties.</w:t>
      </w:r>
      <w:r>
        <w:br/>
      </w:r>
      <w:r>
        <w:t xml:space="preserve">2. The Supplier warrants that all Firefighter equipment is new, unused, and of the latest production model.</w:t>
      </w:r>
      <w:r>
        <w:br/>
      </w:r>
      <w:r>
        <w:t xml:space="preserve">3. The Supplier shall bear all risks of loss or damage until the equipment is delivered and accepted at the designated Abu Dhabi location.</w:t>
      </w:r>
      <w:r>
        <w:br/>
      </w:r>
      <w:r>
        <w:t xml:space="preserve">4. Any delay in delivery beyond the stipulated deadline shall incur a penalty of 0.5% of the total Purchase Order value per calendar day, capped at 10%.</w:t>
      </w:r>
      <w:r>
        <w:br/>
      </w:r>
      <w:r>
        <w:t xml:space="preserve">5. This Purchase Order is governed by the laws of the United Arab Emirates, and any disputes shall be resolved through the courts of Abu Dhabi, United Arab Emirates.</w:t>
      </w:r>
      <w:r>
        <w:br/>
      </w:r>
      <w:r>
        <w:t xml:space="preserve">6. The Supplier shall maintain full insurance coverage for the Firefighter equipment in transit to the United Arab Emirates Abu Dhabi delivery site.</w:t>
      </w:r>
      <w:r>
        <w:br/>
      </w:r>
      <w:r>
        <w:t xml:space="preserve">7. No modification to this Purchase Order shall be valid unless made in writing and signed by authorized representatives of both parties.</w:t>
      </w:r>
    </w:p>
    <w:bookmarkEnd w:id="27"/>
    <w:bookmarkStart w:id="28" w:name="authorization-signatures"/>
    <w:p>
      <w:pPr>
        <w:pStyle w:val="Heading2"/>
      </w:pPr>
      <w:r>
        <w:t xml:space="preserve">8. Authorization &amp; Signatures</w:t>
      </w:r>
    </w:p>
    <w:p>
      <w:pPr>
        <w:pStyle w:val="FirstParagraph"/>
      </w:pPr>
      <w:r>
        <w:rPr>
          <w:bCs/>
          <w:b/>
        </w:rPr>
        <w:t xml:space="preserve">For and on behalf of the Buyer:</w:t>
      </w:r>
    </w:p>
    <w:p>
      <w:pPr>
        <w:pStyle w:val="BodyText"/>
      </w:pPr>
      <w:r>
        <w:t xml:space="preserve">Abu Dhabi Fire &amp; Rescue Department</w:t>
      </w:r>
    </w:p>
    <w:p>
      <w:pPr>
        <w:pStyle w:val="BodyText"/>
      </w:pPr>
      <w:r>
        <w:t xml:space="preserve">Name: Eng. Khalid Al Mansoori</w:t>
      </w:r>
    </w:p>
    <w:p>
      <w:pPr>
        <w:pStyle w:val="BodyText"/>
      </w:pPr>
      <w:r>
        <w:t xml:space="preserve">Title: Procurement Officer</w:t>
      </w:r>
    </w:p>
    <w:p>
      <w:pPr>
        <w:pStyle w:val="BodyText"/>
      </w:pPr>
      <w:r>
        <w:t xml:space="preserve">Signature: ___________________________</w:t>
      </w:r>
    </w:p>
    <w:p>
      <w:pPr>
        <w:pStyle w:val="BodyText"/>
      </w:pPr>
      <w:r>
        <w:t xml:space="preserve">Date: ___________________________</w:t>
      </w:r>
    </w:p>
    <w:p>
      <w:pPr>
        <w:pStyle w:val="BodyText"/>
      </w:pPr>
      <w:r>
        <w:t xml:space="preserve">Official Stamp:</w:t>
      </w:r>
    </w:p>
    <w:p>
      <w:pPr>
        <w:pStyle w:val="BodyText"/>
      </w:pPr>
      <w:r>
        <w:rPr>
          <w:bCs/>
          <w:b/>
        </w:rPr>
        <w:t xml:space="preserve">For and on behalf of the Supplier:</w:t>
      </w:r>
    </w:p>
    <w:p>
      <w:pPr>
        <w:pStyle w:val="BodyText"/>
      </w:pPr>
      <w:r>
        <w:t xml:space="preserve">Gulf Safety &amp; Fire Protection LLC</w:t>
      </w:r>
    </w:p>
    <w:p>
      <w:pPr>
        <w:pStyle w:val="BodyText"/>
      </w:pPr>
      <w:r>
        <w:t xml:space="preserve">Name: Mr. Rajesh Kumar</w:t>
      </w:r>
    </w:p>
    <w:p>
      <w:pPr>
        <w:pStyle w:val="BodyText"/>
      </w:pPr>
      <w:r>
        <w:t xml:space="preserve">Title: Sales Director</w:t>
      </w:r>
    </w:p>
    <w:p>
      <w:pPr>
        <w:pStyle w:val="BodyText"/>
      </w:pPr>
      <w:r>
        <w:t xml:space="preserve">Signature: ___________________________</w:t>
      </w:r>
    </w:p>
    <w:p>
      <w:pPr>
        <w:pStyle w:val="BodyText"/>
      </w:pPr>
      <w:r>
        <w:t xml:space="preserve">Date: ___________________________</w:t>
      </w:r>
    </w:p>
    <w:p>
      <w:pPr>
        <w:pStyle w:val="BodyText"/>
      </w:pPr>
      <w:r>
        <w:t xml:space="preserve">Company Stamp:</w:t>
      </w:r>
    </w:p>
    <w:bookmarkEnd w:id="28"/>
    <w:p>
      <w:pPr>
        <w:pStyle w:val="BodyText"/>
      </w:pPr>
      <w:r>
        <w:rPr>
          <w:bCs/>
          <w:b/>
        </w:rPr>
        <w:t xml:space="preserve">Purchase Order No. AD-FIRE-2025-00472</w:t>
      </w:r>
      <w:r>
        <w:t xml:space="preserve"> </w:t>
      </w:r>
      <w:r>
        <w:t xml:space="preserve">| Issued for Firefighter Equipment Procurement | United Arab Emirates Abu Dhabi</w:t>
      </w:r>
    </w:p>
    <w:p>
      <w:pPr>
        <w:pStyle w:val="BodyText"/>
      </w:pPr>
      <w:r>
        <w:t xml:space="preserve">This document is the property of Abu Dhabi Fire &amp; Rescue Department. Unauthorized reproduction or distribution is prohibited. All Firefighter equipment referenced herein is intended for official emergency response operations within the emirate of Abu Dhabi, United Arab Emirates.</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United Arab Emirates Abu Dhabi</dc:title>
  <dc:creator/>
  <dc:language>en</dc:language>
  <cp:keywords/>
  <dcterms:created xsi:type="dcterms:W3CDTF">2026-10-10T04:24:17Z</dcterms:created>
  <dcterms:modified xsi:type="dcterms:W3CDTF">2026-10-10T04:24:17Z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