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Firefighter</w:t>
      </w:r>
      <w:r>
        <w:t xml:space="preserve"> </w:t>
      </w:r>
      <w:r>
        <w:t xml:space="preserve">Equipment</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purchase-order"/>
    <w:p>
      <w:pPr>
        <w:pStyle w:val="Heading1"/>
      </w:pPr>
      <w:r>
        <w:t xml:space="preserve">PURCHASE ORDER</w:t>
      </w:r>
    </w:p>
    <w:p>
      <w:pPr>
        <w:pStyle w:val="FirstParagraph"/>
      </w:pPr>
      <w:r>
        <w:t xml:space="preserve">City of Houston Fire Department — Firefighter Equipment &amp; Protective Gear Procurement</w:t>
      </w:r>
    </w:p>
    <w:p>
      <w:pPr>
        <w:pStyle w:val="BodyText"/>
      </w:pPr>
      <w:r>
        <w:t xml:space="preserve">PO No.: HFD-2025-FF-04872</w:t>
      </w:r>
    </w:p>
    <w:bookmarkEnd w:id="20"/>
    <w:p>
      <w:pPr>
        <w:pStyle w:val="BodyText"/>
      </w:pPr>
      <w:r>
        <w:rPr>
          <w:bCs/>
          <w:b/>
        </w:rPr>
        <w:t xml:space="preserve">Date of Issue:</w:t>
      </w:r>
      <w:r>
        <w:t xml:space="preserve"> </w:t>
      </w:r>
      <w:r>
        <w:t xml:space="preserve">June 12, 2025</w:t>
      </w:r>
      <w:r>
        <w:t xml:space="preserve"> </w:t>
      </w:r>
      <w:r>
        <w:rPr>
          <w:bCs/>
          <w:b/>
        </w:rPr>
        <w:t xml:space="preserve">Required Delivery Date:</w:t>
      </w:r>
      <w:r>
        <w:t xml:space="preserve"> </w:t>
      </w:r>
      <w:r>
        <w:t xml:space="preserve">August 15, 2025</w:t>
      </w:r>
      <w:r>
        <w:t xml:space="preserve"> </w:t>
      </w:r>
      <w:r>
        <w:rPr>
          <w:bCs/>
          <w:b/>
        </w:rPr>
        <w:t xml:space="preserve">Valid Until:</w:t>
      </w:r>
      <w:r>
        <w:t xml:space="preserve"> </w:t>
      </w:r>
      <w:r>
        <w:t xml:space="preserve">September 30, 2025</w:t>
      </w:r>
    </w:p>
    <w:p>
      <w:pPr>
        <w:pStyle w:val="BodyText"/>
      </w:pPr>
      <w:r>
        <w:t xml:space="preserve">Parties Involved</w:t>
      </w:r>
    </w:p>
    <w:bookmarkStart w:id="21" w:name="purchasing-entity-buyer"/>
    <w:p>
      <w:pPr>
        <w:pStyle w:val="Heading3"/>
      </w:pPr>
      <w:r>
        <w:t xml:space="preserve">Purchasing Entity (Buyer)</w:t>
      </w:r>
    </w:p>
    <w:p>
      <w:pPr>
        <w:pStyle w:val="FirstParagraph"/>
      </w:pPr>
      <w:r>
        <w:rPr>
          <w:bCs/>
          <w:b/>
        </w:rPr>
        <w:t xml:space="preserve">Houston Fire Department</w:t>
      </w:r>
    </w:p>
    <w:p>
      <w:pPr>
        <w:pStyle w:val="BodyText"/>
      </w:pPr>
      <w:r>
        <w:t xml:space="preserve">1200 Smith Street</w:t>
      </w:r>
    </w:p>
    <w:p>
      <w:pPr>
        <w:pStyle w:val="BodyText"/>
      </w:pPr>
      <w:r>
        <w:t xml:space="preserve">Houston, Texas 77002</w:t>
      </w:r>
    </w:p>
    <w:p>
      <w:pPr>
        <w:pStyle w:val="BodyText"/>
      </w:pPr>
      <w:r>
        <w:t xml:space="preserve">United States</w:t>
      </w:r>
    </w:p>
    <w:p>
      <w:pPr>
        <w:pStyle w:val="BodyText"/>
      </w:pPr>
      <w:r>
        <w:t xml:space="preserve">Attn: Chief Marcus D. Reynolds</w:t>
      </w:r>
    </w:p>
    <w:p>
      <w:pPr>
        <w:pStyle w:val="BodyText"/>
      </w:pPr>
      <w:r>
        <w:t xml:space="preserve">Phone: (713) 555-0142</w:t>
      </w:r>
    </w:p>
    <w:p>
      <w:pPr>
        <w:pStyle w:val="BodyText"/>
      </w:pPr>
      <w:r>
        <w:t xml:space="preserve">Email: procurement@houstontx.gov</w:t>
      </w:r>
    </w:p>
    <w:bookmarkEnd w:id="21"/>
    <w:bookmarkStart w:id="22" w:name="supplier-seller"/>
    <w:p>
      <w:pPr>
        <w:pStyle w:val="Heading3"/>
      </w:pPr>
      <w:r>
        <w:t xml:space="preserve">Supplier (Seller)</w:t>
      </w:r>
    </w:p>
    <w:p>
      <w:pPr>
        <w:pStyle w:val="FirstParagraph"/>
      </w:pPr>
      <w:r>
        <w:rPr>
          <w:bCs/>
          <w:b/>
        </w:rPr>
        <w:t xml:space="preserve">Gulf Coast Firefighter Supply Co.</w:t>
      </w:r>
    </w:p>
    <w:p>
      <w:pPr>
        <w:pStyle w:val="BodyText"/>
      </w:pPr>
      <w:r>
        <w:t xml:space="preserve">4820 Industrial Parkway, Suite 300</w:t>
      </w:r>
    </w:p>
    <w:p>
      <w:pPr>
        <w:pStyle w:val="BodyText"/>
      </w:pPr>
      <w:r>
        <w:t xml:space="preserve">Houston, Texas 77032</w:t>
      </w:r>
    </w:p>
    <w:p>
      <w:pPr>
        <w:pStyle w:val="BodyText"/>
      </w:pPr>
      <w:r>
        <w:t xml:space="preserve">United States</w:t>
      </w:r>
    </w:p>
    <w:p>
      <w:pPr>
        <w:pStyle w:val="BodyText"/>
      </w:pPr>
      <w:r>
        <w:t xml:space="preserve">Attn: Director of Sales, Linda K. Vasquez</w:t>
      </w:r>
    </w:p>
    <w:p>
      <w:pPr>
        <w:pStyle w:val="BodyText"/>
      </w:pPr>
      <w:r>
        <w:t xml:space="preserve">Phone: (713) 555-0287</w:t>
      </w:r>
    </w:p>
    <w:p>
      <w:pPr>
        <w:pStyle w:val="BodyText"/>
      </w:pPr>
      <w:r>
        <w:t xml:space="preserve">Email: orders@gulfcoastffsupply.com</w:t>
      </w:r>
    </w:p>
    <w:bookmarkEnd w:id="22"/>
    <w:p>
      <w:pPr>
        <w:pStyle w:val="BodyText"/>
      </w:pPr>
      <w:r>
        <w:t xml:space="preserve">Purchase Order Description</w:t>
      </w:r>
    </w:p>
    <w:p>
      <w:pPr>
        <w:pStyle w:val="BodyText"/>
      </w:pPr>
      <w:r>
        <w:t xml:space="preserve">This</w:t>
      </w:r>
      <w:r>
        <w:t xml:space="preserve"> </w:t>
      </w:r>
      <w:r>
        <w:t xml:space="preserve">Purchase Order</w:t>
      </w:r>
      <w:r>
        <w:t xml:space="preserve"> </w:t>
      </w:r>
      <w:r>
        <w:t xml:space="preserve">is issued by the Houston Fire Department to procure essential</w:t>
      </w:r>
      <w:r>
        <w:t xml:space="preserve"> </w:t>
      </w:r>
      <w:r>
        <w:t xml:space="preserve">Firefighter</w:t>
      </w:r>
      <w:r>
        <w:t xml:space="preserve"> </w:t>
      </w:r>
      <w:r>
        <w:t xml:space="preserve">personal protective equipment (PPE), structural firefighting gear, and operational supplies for deployment across all active</w:t>
      </w:r>
      <w:r>
        <w:t xml:space="preserve"> </w:t>
      </w:r>
      <w:r>
        <w:t xml:space="preserve">Firefighter</w:t>
      </w:r>
      <w:r>
        <w:t xml:space="preserve"> </w:t>
      </w:r>
      <w:r>
        <w:t xml:space="preserve">stations in</w:t>
      </w:r>
      <w:r>
        <w:t xml:space="preserve"> </w:t>
      </w:r>
      <w:r>
        <w:t xml:space="preserve">United States Houston</w:t>
      </w:r>
      <w:r>
        <w:t xml:space="preserve">. This procurement is conducted in accordance with the City of Houston Municipal Code, Section 104.02, and all applicable federal and state procurement regulations governing the acquisition of emergency services equipment. The items listed below are intended to ensure that every</w:t>
      </w:r>
      <w:r>
        <w:t xml:space="preserve"> </w:t>
      </w:r>
      <w:r>
        <w:t xml:space="preserve">Firefighter</w:t>
      </w:r>
      <w:r>
        <w:t xml:space="preserve"> </w:t>
      </w:r>
      <w:r>
        <w:t xml:space="preserve">operating within the Houston metropolitan area is equipped with NFPA 1801-compliant protective gear and operational tools necessary for structural, wildland, and technical rescue operations.</w:t>
      </w:r>
    </w:p>
    <w:p>
      <w:pPr>
        <w:pStyle w:val="BodyText"/>
      </w:pPr>
      <w:r>
        <w:t xml:space="preserve">Line Items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Extended Price (USD)</w:t>
            </w:r>
          </w:p>
        </w:tc>
      </w:tr>
      <w:tr>
        <w:tc>
          <w:tcPr/>
          <w:p>
            <w:pPr>
              <w:pStyle w:val="Compact"/>
              <w:jc w:val="left"/>
            </w:pPr>
            <w:r>
              <w:t xml:space="preserve">1</w:t>
            </w:r>
          </w:p>
        </w:tc>
        <w:tc>
          <w:tcPr/>
          <w:p>
            <w:pPr>
              <w:pStyle w:val="Compact"/>
              <w:jc w:val="left"/>
            </w:pPr>
            <w:r>
              <w:t xml:space="preserve">NFPA 1801 Type I Structural Firefighter Turnout Coat (Heat-Resistant, Reflective Strips)</w:t>
            </w:r>
          </w:p>
        </w:tc>
        <w:tc>
          <w:tcPr/>
          <w:p>
            <w:pPr>
              <w:pStyle w:val="Compact"/>
              <w:jc w:val="left"/>
            </w:pPr>
            <w:r>
              <w:t xml:space="preserve">250</w:t>
            </w:r>
          </w:p>
        </w:tc>
        <w:tc>
          <w:tcPr/>
          <w:p>
            <w:pPr>
              <w:pStyle w:val="Compact"/>
              <w:jc w:val="left"/>
            </w:pPr>
            <w:r>
              <w:t xml:space="preserve">$485.00</w:t>
            </w:r>
          </w:p>
        </w:tc>
        <w:tc>
          <w:tcPr/>
          <w:p>
            <w:pPr>
              <w:pStyle w:val="Compact"/>
              <w:jc w:val="left"/>
            </w:pPr>
            <w:r>
              <w:t xml:space="preserve">$121,250.00</w:t>
            </w:r>
          </w:p>
        </w:tc>
      </w:tr>
      <w:tr>
        <w:tc>
          <w:tcPr/>
          <w:p>
            <w:pPr>
              <w:pStyle w:val="Compact"/>
              <w:jc w:val="left"/>
            </w:pPr>
            <w:r>
              <w:t xml:space="preserve">2</w:t>
            </w:r>
          </w:p>
        </w:tc>
        <w:tc>
          <w:tcPr/>
          <w:p>
            <w:pPr>
              <w:pStyle w:val="Compact"/>
              <w:jc w:val="left"/>
            </w:pPr>
            <w:r>
              <w:t xml:space="preserve">NFPA 1801 Type I Structural Firefighter Turnout Pants (Kevlar-Lined, Moisture Barrier)</w:t>
            </w:r>
          </w:p>
        </w:tc>
        <w:tc>
          <w:tcPr/>
          <w:p>
            <w:pPr>
              <w:pStyle w:val="Compact"/>
              <w:jc w:val="left"/>
            </w:pPr>
            <w:r>
              <w:t xml:space="preserve">250</w:t>
            </w:r>
          </w:p>
        </w:tc>
        <w:tc>
          <w:tcPr/>
          <w:p>
            <w:pPr>
              <w:pStyle w:val="Compact"/>
              <w:jc w:val="left"/>
            </w:pPr>
            <w:r>
              <w:t xml:space="preserve">$412.00</w:t>
            </w:r>
          </w:p>
        </w:tc>
        <w:tc>
          <w:tcPr/>
          <w:p>
            <w:pPr>
              <w:pStyle w:val="Compact"/>
              <w:jc w:val="left"/>
            </w:pPr>
            <w:r>
              <w:t xml:space="preserve">$103,000.00</w:t>
            </w:r>
          </w:p>
        </w:tc>
      </w:tr>
      <w:tr>
        <w:tc>
          <w:tcPr/>
          <w:p>
            <w:pPr>
              <w:pStyle w:val="Compact"/>
              <w:jc w:val="left"/>
            </w:pPr>
            <w:r>
              <w:t xml:space="preserve">3</w:t>
            </w:r>
          </w:p>
        </w:tc>
        <w:tc>
          <w:tcPr/>
          <w:p>
            <w:pPr>
              <w:pStyle w:val="Compact"/>
              <w:jc w:val="left"/>
            </w:pPr>
            <w:r>
              <w:t xml:space="preserve">Firefighter Helmet, Type I (NFPA 1971 Compliant, Full Brim, Visor)</w:t>
            </w:r>
          </w:p>
        </w:tc>
        <w:tc>
          <w:tcPr/>
          <w:p>
            <w:pPr>
              <w:pStyle w:val="Compact"/>
              <w:jc w:val="left"/>
            </w:pPr>
            <w:r>
              <w:t xml:space="preserve">250</w:t>
            </w:r>
          </w:p>
        </w:tc>
        <w:tc>
          <w:tcPr/>
          <w:p>
            <w:pPr>
              <w:pStyle w:val="Compact"/>
              <w:jc w:val="left"/>
            </w:pPr>
            <w:r>
              <w:t xml:space="preserve">$298.00</w:t>
            </w:r>
          </w:p>
        </w:tc>
        <w:tc>
          <w:tcPr/>
          <w:p>
            <w:pPr>
              <w:pStyle w:val="Compact"/>
              <w:jc w:val="left"/>
            </w:pPr>
            <w:r>
              <w:t xml:space="preserve">$74,500.00</w:t>
            </w:r>
          </w:p>
        </w:tc>
      </w:tr>
      <w:tr>
        <w:tc>
          <w:tcPr/>
          <w:p>
            <w:pPr>
              <w:pStyle w:val="Compact"/>
              <w:jc w:val="left"/>
            </w:pPr>
            <w:r>
              <w:t xml:space="preserve">4</w:t>
            </w:r>
          </w:p>
        </w:tc>
        <w:tc>
          <w:tcPr/>
          <w:p>
            <w:pPr>
              <w:pStyle w:val="Compact"/>
              <w:jc w:val="left"/>
            </w:pPr>
            <w:r>
              <w:t xml:space="preserve">Firefighter Self-Contained Breathing Apparatus (SCBA), 30-Minute Cylinder, NFPA 1981</w:t>
            </w:r>
          </w:p>
        </w:tc>
        <w:tc>
          <w:tcPr/>
          <w:p>
            <w:pPr>
              <w:pStyle w:val="Compact"/>
              <w:jc w:val="left"/>
            </w:pPr>
            <w:r>
              <w:t xml:space="preserve">120</w:t>
            </w:r>
          </w:p>
        </w:tc>
        <w:tc>
          <w:tcPr/>
          <w:p>
            <w:pPr>
              <w:pStyle w:val="Compact"/>
              <w:jc w:val="left"/>
            </w:pPr>
            <w:r>
              <w:t xml:space="preserve">$3,200.00</w:t>
            </w:r>
          </w:p>
        </w:tc>
        <w:tc>
          <w:tcPr/>
          <w:p>
            <w:pPr>
              <w:pStyle w:val="Compact"/>
              <w:jc w:val="left"/>
            </w:pPr>
            <w:r>
              <w:t xml:space="preserve">$384,000.00</w:t>
            </w:r>
          </w:p>
        </w:tc>
      </w:tr>
      <w:tr>
        <w:tc>
          <w:tcPr/>
          <w:p>
            <w:pPr>
              <w:pStyle w:val="Compact"/>
              <w:jc w:val="left"/>
            </w:pPr>
            <w:r>
              <w:t xml:space="preserve">5</w:t>
            </w:r>
          </w:p>
        </w:tc>
        <w:tc>
          <w:tcPr/>
          <w:p>
            <w:pPr>
              <w:pStyle w:val="Compact"/>
              <w:jc w:val="left"/>
            </w:pPr>
            <w:r>
              <w:t xml:space="preserve">Firefighter Protective Gloves, Thermal/Chemical Resistant (NFPA 1999)</w:t>
            </w:r>
          </w:p>
        </w:tc>
        <w:tc>
          <w:tcPr/>
          <w:p>
            <w:pPr>
              <w:pStyle w:val="Compact"/>
              <w:jc w:val="left"/>
            </w:pPr>
            <w:r>
              <w:t xml:space="preserve">500</w:t>
            </w:r>
          </w:p>
        </w:tc>
        <w:tc>
          <w:tcPr/>
          <w:p>
            <w:pPr>
              <w:pStyle w:val="Compact"/>
              <w:jc w:val="left"/>
            </w:pPr>
            <w:r>
              <w:t xml:space="preserve">$89.00</w:t>
            </w:r>
          </w:p>
        </w:tc>
        <w:tc>
          <w:tcPr/>
          <w:p>
            <w:pPr>
              <w:pStyle w:val="Compact"/>
              <w:jc w:val="left"/>
            </w:pPr>
            <w:r>
              <w:t xml:space="preserve">$44,500.00</w:t>
            </w:r>
          </w:p>
        </w:tc>
      </w:tr>
      <w:tr>
        <w:tc>
          <w:tcPr/>
          <w:p>
            <w:pPr>
              <w:pStyle w:val="Compact"/>
              <w:jc w:val="left"/>
            </w:pPr>
            <w:r>
              <w:t xml:space="preserve">6</w:t>
            </w:r>
          </w:p>
        </w:tc>
        <w:tc>
          <w:tcPr/>
          <w:p>
            <w:pPr>
              <w:pStyle w:val="Compact"/>
              <w:jc w:val="left"/>
            </w:pPr>
            <w:r>
              <w:t xml:space="preserve">Firefighter Safety Boots, 8-Inch, Metatarsal Guard, Heat-Resistant Sole</w:t>
            </w:r>
          </w:p>
        </w:tc>
        <w:tc>
          <w:tcPr/>
          <w:p>
            <w:pPr>
              <w:pStyle w:val="Compact"/>
              <w:jc w:val="left"/>
            </w:pPr>
            <w:r>
              <w:t xml:space="preserve">250</w:t>
            </w:r>
          </w:p>
        </w:tc>
        <w:tc>
          <w:tcPr/>
          <w:p>
            <w:pPr>
              <w:pStyle w:val="Compact"/>
              <w:jc w:val="left"/>
            </w:pPr>
            <w:r>
              <w:t xml:space="preserve">$275.00</w:t>
            </w:r>
          </w:p>
        </w:tc>
        <w:tc>
          <w:tcPr/>
          <w:p>
            <w:pPr>
              <w:pStyle w:val="Compact"/>
              <w:jc w:val="left"/>
            </w:pPr>
            <w:r>
              <w:t xml:space="preserve">$68,750.00</w:t>
            </w:r>
          </w:p>
        </w:tc>
      </w:tr>
      <w:tr>
        <w:tc>
          <w:tcPr/>
          <w:p>
            <w:pPr>
              <w:pStyle w:val="Compact"/>
              <w:jc w:val="left"/>
            </w:pPr>
            <w:r>
              <w:t xml:space="preserve">7</w:t>
            </w:r>
          </w:p>
        </w:tc>
        <w:tc>
          <w:tcPr/>
          <w:p>
            <w:pPr>
              <w:pStyle w:val="Compact"/>
              <w:jc w:val="left"/>
            </w:pPr>
            <w:r>
              <w:t xml:space="preserve">Firefighter Proximity Alarm / Personal Alert Safety System (PASS Device)</w:t>
            </w:r>
          </w:p>
        </w:tc>
        <w:tc>
          <w:tcPr/>
          <w:p>
            <w:pPr>
              <w:pStyle w:val="Compact"/>
              <w:jc w:val="left"/>
            </w:pPr>
            <w:r>
              <w:t xml:space="preserve">250</w:t>
            </w:r>
          </w:p>
        </w:tc>
        <w:tc>
          <w:tcPr/>
          <w:p>
            <w:pPr>
              <w:pStyle w:val="Compact"/>
              <w:jc w:val="left"/>
            </w:pPr>
            <w:r>
              <w:t xml:space="preserve">$145.00</w:t>
            </w:r>
          </w:p>
        </w:tc>
        <w:tc>
          <w:tcPr/>
          <w:p>
            <w:pPr>
              <w:pStyle w:val="Compact"/>
              <w:jc w:val="left"/>
            </w:pPr>
            <w:r>
              <w:t xml:space="preserve">$36,250.00</w:t>
            </w:r>
          </w:p>
        </w:tc>
      </w:tr>
      <w:tr>
        <w:tc>
          <w:tcPr/>
          <w:p>
            <w:pPr>
              <w:pStyle w:val="Compact"/>
              <w:jc w:val="left"/>
            </w:pPr>
            <w:r>
              <w:t xml:space="preserve">8</w:t>
            </w:r>
          </w:p>
        </w:tc>
        <w:tc>
          <w:tcPr/>
          <w:p>
            <w:pPr>
              <w:pStyle w:val="Compact"/>
              <w:jc w:val="left"/>
            </w:pPr>
            <w:r>
              <w:t xml:space="preserve">Firefighter Thermal Imaging Camera, Handheld, 640x480 Resolution</w:t>
            </w:r>
          </w:p>
        </w:tc>
        <w:tc>
          <w:tcPr/>
          <w:p>
            <w:pPr>
              <w:pStyle w:val="Compact"/>
              <w:jc w:val="left"/>
            </w:pPr>
            <w:r>
              <w:t xml:space="preserve">40</w:t>
            </w:r>
          </w:p>
        </w:tc>
        <w:tc>
          <w:tcPr/>
          <w:p>
            <w:pPr>
              <w:pStyle w:val="Compact"/>
              <w:jc w:val="left"/>
            </w:pPr>
            <w:r>
              <w:t xml:space="preserve">$2,850.00</w:t>
            </w:r>
          </w:p>
        </w:tc>
        <w:tc>
          <w:tcPr/>
          <w:p>
            <w:pPr>
              <w:pStyle w:val="Compact"/>
              <w:jc w:val="left"/>
            </w:pPr>
            <w:r>
              <w:t xml:space="preserve">$114,000.00</w:t>
            </w:r>
          </w:p>
        </w:tc>
      </w:tr>
      <w:tr>
        <w:tc>
          <w:tcPr/>
          <w:p>
            <w:pPr>
              <w:pStyle w:val="Compact"/>
              <w:jc w:val="left"/>
            </w:pPr>
            <w:r>
              <w:t xml:space="preserve">9</w:t>
            </w:r>
          </w:p>
        </w:tc>
        <w:tc>
          <w:tcPr/>
          <w:p>
            <w:pPr>
              <w:pStyle w:val="Compact"/>
              <w:jc w:val="left"/>
            </w:pPr>
            <w:r>
              <w:t xml:space="preserve">Firefighter Hydrant Nozzle, 1.75-Inch, Adjustable Fog/Straight Stream</w:t>
            </w:r>
          </w:p>
        </w:tc>
        <w:tc>
          <w:tcPr/>
          <w:p>
            <w:pPr>
              <w:pStyle w:val="Compact"/>
              <w:jc w:val="left"/>
            </w:pPr>
            <w:r>
              <w:t xml:space="preserve">200</w:t>
            </w:r>
          </w:p>
        </w:tc>
        <w:tc>
          <w:tcPr/>
          <w:p>
            <w:pPr>
              <w:pStyle w:val="Compact"/>
              <w:jc w:val="left"/>
            </w:pPr>
            <w:r>
              <w:t xml:space="preserve">$165.00</w:t>
            </w:r>
          </w:p>
        </w:tc>
        <w:tc>
          <w:tcPr/>
          <w:p>
            <w:pPr>
              <w:pStyle w:val="Compact"/>
              <w:jc w:val="left"/>
            </w:pPr>
            <w:r>
              <w:t xml:space="preserve">$33,000.00</w:t>
            </w:r>
          </w:p>
        </w:tc>
      </w:tr>
      <w:tr>
        <w:tc>
          <w:tcPr/>
          <w:p>
            <w:pPr>
              <w:pStyle w:val="Compact"/>
              <w:jc w:val="left"/>
            </w:pPr>
            <w:r>
              <w:t xml:space="preserve">10</w:t>
            </w:r>
          </w:p>
        </w:tc>
        <w:tc>
          <w:tcPr/>
          <w:p>
            <w:pPr>
              <w:pStyle w:val="Compact"/>
              <w:jc w:val="left"/>
            </w:pPr>
            <w:r>
              <w:t xml:space="preserve">Firefighter Wildland Firefighting Gear Set (Nomex Shirt, Pants, Gloves, Boots)</w:t>
            </w:r>
          </w:p>
        </w:tc>
        <w:tc>
          <w:tcPr/>
          <w:p>
            <w:pPr>
              <w:pStyle w:val="Compact"/>
              <w:jc w:val="left"/>
            </w:pPr>
            <w:r>
              <w:t xml:space="preserve">80</w:t>
            </w:r>
          </w:p>
        </w:tc>
        <w:tc>
          <w:tcPr/>
          <w:p>
            <w:pPr>
              <w:pStyle w:val="Compact"/>
              <w:jc w:val="left"/>
            </w:pPr>
            <w:r>
              <w:t xml:space="preserve">$620.00</w:t>
            </w:r>
          </w:p>
        </w:tc>
        <w:tc>
          <w:tcPr/>
          <w:p>
            <w:pPr>
              <w:pStyle w:val="Compact"/>
              <w:jc w:val="left"/>
            </w:pPr>
            <w:r>
              <w:t xml:space="preserve">$49,600.00</w:t>
            </w:r>
          </w:p>
        </w:tc>
      </w:tr>
      <w:tr>
        <w:tc>
          <w:tcPr>
            <w:gridSpan w:val="4"/>
          </w:tcPr>
          <w:p>
            <w:pPr>
              <w:pStyle w:val="Compact"/>
              <w:jc w:val="right"/>
            </w:pPr>
            <w:r>
              <w:t xml:space="preserve">Subtotal:</w:t>
            </w:r>
          </w:p>
        </w:tc>
        <w:tc>
          <w:tcPr/>
          <w:p>
            <w:pPr>
              <w:pStyle w:val="Compact"/>
              <w:jc w:val="left"/>
            </w:pPr>
            <w:r>
              <w:t xml:space="preserve">$1,028,850.00</w:t>
            </w:r>
          </w:p>
        </w:tc>
      </w:tr>
      <w:tr>
        <w:tc>
          <w:tcPr>
            <w:gridSpan w:val="4"/>
          </w:tcPr>
          <w:p>
            <w:pPr>
              <w:pStyle w:val="Compact"/>
              <w:jc w:val="right"/>
            </w:pPr>
            <w:r>
              <w:t xml:space="preserve">Texas Sales Tax (8.25%):</w:t>
            </w:r>
          </w:p>
        </w:tc>
        <w:tc>
          <w:tcPr/>
          <w:p>
            <w:pPr>
              <w:pStyle w:val="Compact"/>
              <w:jc w:val="left"/>
            </w:pPr>
            <w:r>
              <w:t xml:space="preserve">$84,880.13</w:t>
            </w:r>
          </w:p>
        </w:tc>
      </w:tr>
      <w:tr>
        <w:tc>
          <w:tcPr>
            <w:gridSpan w:val="4"/>
          </w:tcPr>
          <w:p>
            <w:pPr>
              <w:pStyle w:val="Compact"/>
              <w:jc w:val="right"/>
            </w:pPr>
            <w:r>
              <w:t xml:space="preserve">Freight &amp; Delivery to Houston, TX:</w:t>
            </w:r>
          </w:p>
        </w:tc>
        <w:tc>
          <w:tcPr/>
          <w:p>
            <w:pPr>
              <w:pStyle w:val="Compact"/>
              <w:jc w:val="left"/>
            </w:pPr>
            <w:r>
              <w:t xml:space="preserve">$4,500.00</w:t>
            </w:r>
          </w:p>
        </w:tc>
      </w:tr>
      <w:tr>
        <w:tc>
          <w:tcPr>
            <w:gridSpan w:val="4"/>
          </w:tcPr>
          <w:p>
            <w:pPr>
              <w:pStyle w:val="Compact"/>
              <w:jc w:val="right"/>
            </w:pPr>
            <w:r>
              <w:t xml:space="preserve">TOTAL PURCHASE ORDER AMOUNT:</w:t>
            </w:r>
          </w:p>
        </w:tc>
        <w:tc>
          <w:tcPr/>
          <w:p>
            <w:pPr>
              <w:pStyle w:val="Compact"/>
              <w:jc w:val="left"/>
            </w:pPr>
            <w:r>
              <w:t xml:space="preserve">$1,118,230.13</w:t>
            </w:r>
          </w:p>
        </w:tc>
      </w:tr>
    </w:tbl>
    <w:p>
      <w:pPr>
        <w:pStyle w:val="BodyText"/>
      </w:pPr>
      <w:r>
        <w:t xml:space="preserve">Terms and Conditions</w:t>
      </w:r>
    </w:p>
    <w:p>
      <w:pPr>
        <w:numPr>
          <w:ilvl w:val="0"/>
          <w:numId w:val="1001"/>
        </w:numPr>
        <w:pStyle w:val="Compact"/>
      </w:pPr>
      <w:r>
        <w:rPr>
          <w:bCs/>
          <w:b/>
        </w:rPr>
        <w:t xml:space="preserve">Delivery:</w:t>
      </w:r>
      <w:r>
        <w:t xml:space="preserve"> </w:t>
      </w:r>
      <w:r>
        <w:t xml:space="preserve">All items under this</w:t>
      </w:r>
      <w:r>
        <w:t xml:space="preserve"> </w:t>
      </w:r>
      <w:r>
        <w:t xml:space="preserve">Purchase Order</w:t>
      </w:r>
      <w:r>
        <w:t xml:space="preserve"> </w:t>
      </w:r>
      <w:r>
        <w:t xml:space="preserve">shall be delivered to the Houston Fire Department Central Warehouse located at 1200 Smith Street, Houston, Texas 77002, United States. Delivery must be completed no later than August 15, 2025. The supplier is responsible for all shipping, handling, and insurance costs until the goods are received and inspected by the Houston Fire Department receiving officer.</w:t>
      </w:r>
    </w:p>
    <w:p>
      <w:pPr>
        <w:numPr>
          <w:ilvl w:val="0"/>
          <w:numId w:val="1001"/>
        </w:numPr>
        <w:pStyle w:val="Compact"/>
      </w:pPr>
      <w:r>
        <w:rPr>
          <w:bCs/>
          <w:b/>
        </w:rPr>
        <w:t xml:space="preserve">Payment Terms:</w:t>
      </w:r>
      <w:r>
        <w:t xml:space="preserve"> </w:t>
      </w:r>
      <w:r>
        <w:t xml:space="preserve">Payment shall be made net 45 days from the date of confirmed receipt and acceptance of all</w:t>
      </w:r>
      <w:r>
        <w:t xml:space="preserve"> </w:t>
      </w:r>
      <w:r>
        <w:t xml:space="preserve">Firefighter</w:t>
      </w:r>
      <w:r>
        <w:t xml:space="preserve"> </w:t>
      </w:r>
      <w:r>
        <w:t xml:space="preserve">equipment listed in this</w:t>
      </w:r>
      <w:r>
        <w:t xml:space="preserve"> </w:t>
      </w:r>
      <w:r>
        <w:t xml:space="preserve">Purchase Order</w:t>
      </w:r>
      <w:r>
        <w:t xml:space="preserve">. Payment will be issued via electronic funds transfer (EFT) to the supplier's designated bank account. Late payments shall accrue interest at a rate of 1.5% per month as stipulated by the City of Houston Finance Department.</w:t>
      </w:r>
    </w:p>
    <w:p>
      <w:pPr>
        <w:numPr>
          <w:ilvl w:val="0"/>
          <w:numId w:val="1001"/>
        </w:numPr>
        <w:pStyle w:val="Compact"/>
      </w:pPr>
      <w:r>
        <w:rPr>
          <w:bCs/>
          <w:b/>
        </w:rPr>
        <w:t xml:space="preserve">Quality Assurance:</w:t>
      </w:r>
      <w:r>
        <w:t xml:space="preserve"> </w:t>
      </w:r>
      <w:r>
        <w:t xml:space="preserve">All</w:t>
      </w:r>
      <w:r>
        <w:t xml:space="preserve"> </w:t>
      </w:r>
      <w:r>
        <w:t xml:space="preserve">Firefighter</w:t>
      </w:r>
      <w:r>
        <w:t xml:space="preserve"> </w:t>
      </w:r>
      <w:r>
        <w:t xml:space="preserve">protective equipment must comply with the latest editions of NFPA standards 1801, 1971, 1981, 1999, and 1977. Each item must bear the appropriate NFPA certification label. The Houston Fire Department reserves the right to reject any</w:t>
      </w:r>
      <w:r>
        <w:t xml:space="preserve"> </w:t>
      </w:r>
      <w:r>
        <w:t xml:space="preserve">Firefighter</w:t>
      </w:r>
      <w:r>
        <w:t xml:space="preserve"> </w:t>
      </w:r>
      <w:r>
        <w:t xml:space="preserve">gear that does not meet the specified standards. Rejected items must be replaced at the supplier's sole expense within 14 business days.</w:t>
      </w:r>
    </w:p>
    <w:p>
      <w:pPr>
        <w:numPr>
          <w:ilvl w:val="0"/>
          <w:numId w:val="1001"/>
        </w:numPr>
        <w:pStyle w:val="Compact"/>
      </w:pPr>
      <w:r>
        <w:rPr>
          <w:bCs/>
          <w:b/>
        </w:rPr>
        <w:t xml:space="preserve">Warranty:</w:t>
      </w:r>
      <w:r>
        <w:t xml:space="preserve"> </w:t>
      </w:r>
      <w:r>
        <w:t xml:space="preserve">The supplier shall provide a minimum 3-year manufacturer's warranty on all structural</w:t>
      </w:r>
      <w:r>
        <w:t xml:space="preserve"> </w:t>
      </w:r>
      <w:r>
        <w:t xml:space="preserve">Firefighter</w:t>
      </w:r>
      <w:r>
        <w:t xml:space="preserve"> </w:t>
      </w:r>
      <w:r>
        <w:t xml:space="preserve">turnout gear, SCBA units, and thermal imaging cameras. A 1-year warranty applies to all other items. Warranty claims must be submitted in writing to the Houston Fire Department Equipment Maintenance Division.</w:t>
      </w:r>
    </w:p>
    <w:p>
      <w:pPr>
        <w:numPr>
          <w:ilvl w:val="0"/>
          <w:numId w:val="1001"/>
        </w:numPr>
        <w:pStyle w:val="Compact"/>
      </w:pPr>
      <w:r>
        <w:rPr>
          <w:bCs/>
          <w:b/>
        </w:rPr>
        <w:t xml:space="preserve">Compliance:</w:t>
      </w:r>
      <w:r>
        <w:t xml:space="preserve"> </w:t>
      </w:r>
      <w:r>
        <w:t xml:space="preserve">This</w:t>
      </w:r>
      <w:r>
        <w:t xml:space="preserve"> </w:t>
      </w:r>
      <w:r>
        <w:t xml:space="preserve">Purchase Order</w:t>
      </w:r>
      <w:r>
        <w:t xml:space="preserve"> </w:t>
      </w:r>
      <w:r>
        <w:t xml:space="preserve">is subject to all applicable federal, state, and local laws of the State of Texas and the City of Houston. The supplier certifies that all goods are manufactured or sourced in compliance with the Trade Agreements Act and the Buy American Act where applicable. The supplier further certifies that no</w:t>
      </w:r>
      <w:r>
        <w:t xml:space="preserve"> </w:t>
      </w:r>
      <w:r>
        <w:t xml:space="preserve">Firefighter</w:t>
      </w:r>
      <w:r>
        <w:t xml:space="preserve"> </w:t>
      </w:r>
      <w:r>
        <w:t xml:space="preserve">equipment listed herein has been produced using forced or child labor.</w:t>
      </w:r>
    </w:p>
    <w:p>
      <w:pPr>
        <w:numPr>
          <w:ilvl w:val="0"/>
          <w:numId w:val="1001"/>
        </w:numPr>
        <w:pStyle w:val="Compact"/>
      </w:pPr>
      <w:r>
        <w:rPr>
          <w:bCs/>
          <w:b/>
        </w:rPr>
        <w:t xml:space="preserve">Insurance:</w:t>
      </w:r>
      <w:r>
        <w:t xml:space="preserve"> </w:t>
      </w:r>
      <w:r>
        <w:t xml:space="preserve">The supplier shall maintain comprehensive general liability insurance with a minimum coverage of $2,000,000 per occurrence and $5,000,000 aggregate, as well as product liability insurance, for the duration of this</w:t>
      </w:r>
      <w:r>
        <w:t xml:space="preserve"> </w:t>
      </w:r>
      <w:r>
        <w:t xml:space="preserve">Purchase Order</w:t>
      </w:r>
      <w:r>
        <w:t xml:space="preserve"> </w:t>
      </w:r>
      <w:r>
        <w:t xml:space="preserve">and for a period of three (3) years following final delivery.</w:t>
      </w:r>
    </w:p>
    <w:p>
      <w:pPr>
        <w:numPr>
          <w:ilvl w:val="0"/>
          <w:numId w:val="1001"/>
        </w:numPr>
        <w:pStyle w:val="Compact"/>
      </w:pPr>
      <w:r>
        <w:rPr>
          <w:bCs/>
          <w:b/>
        </w:rPr>
        <w:t xml:space="preserve">Dispute Resolution:</w:t>
      </w:r>
      <w:r>
        <w:t xml:space="preserve"> </w:t>
      </w:r>
      <w:r>
        <w:t xml:space="preserve">Any disputes arising from this</w:t>
      </w:r>
      <w:r>
        <w:t xml:space="preserve"> </w:t>
      </w:r>
      <w:r>
        <w:t xml:space="preserve">Purchase Order</w:t>
      </w:r>
      <w:r>
        <w:t xml:space="preserve"> </w:t>
      </w:r>
      <w:r>
        <w:t xml:space="preserve">shall be resolved through binding arbitration in</w:t>
      </w:r>
      <w:r>
        <w:t xml:space="preserve"> </w:t>
      </w:r>
      <w:r>
        <w:t xml:space="preserve">United States Houston</w:t>
      </w:r>
      <w:r>
        <w:t xml:space="preserve">, Texas, in accordance with the rules of the American Arbitration Association. The prevailing party shall be entitled to recover reasonable attorney's fees and costs.</w:t>
      </w:r>
    </w:p>
    <w:p>
      <w:pPr>
        <w:numPr>
          <w:ilvl w:val="0"/>
          <w:numId w:val="1001"/>
        </w:numPr>
        <w:pStyle w:val="Compact"/>
      </w:pPr>
      <w:r>
        <w:rPr>
          <w:bCs/>
          <w:b/>
        </w:rPr>
        <w:t xml:space="preserve">Force Majeure:</w:t>
      </w:r>
      <w:r>
        <w:t xml:space="preserve"> </w:t>
      </w:r>
      <w:r>
        <w:t xml:space="preserve">Neither party shall be liable for delays or failures in performance resulting from acts of God, natural disasters (including hurricanes common to the Houston, Texas region), government actions, or other events beyond reasonable control, provided that the affected party notifies the other in writing within 5 business days.</w:t>
      </w:r>
    </w:p>
    <w:p>
      <w:pPr>
        <w:pStyle w:val="FirstParagraph"/>
      </w:pPr>
      <w:r>
        <w:t xml:space="preserve">Authorized Signatures</w:t>
      </w:r>
    </w:p>
    <w:p>
      <w:pPr>
        <w:pStyle w:val="BodyText"/>
      </w:pPr>
      <w:r>
        <w:rPr>
          <w:bCs/>
          <w:b/>
        </w:rPr>
        <w:t xml:space="preserve">For the Houston Fire Department (Buyer)</w:t>
      </w:r>
    </w:p>
    <w:p>
      <w:pPr>
        <w:pStyle w:val="BodyText"/>
      </w:pPr>
      <w:r>
        <w:t xml:space="preserve">Chief Marcus D. Reynolds</w:t>
      </w:r>
      <w:r>
        <w:br/>
      </w:r>
      <w:r>
        <w:t xml:space="preserve">Fire Chief, City of Houston</w:t>
      </w:r>
      <w:r>
        <w:br/>
      </w:r>
      <w:r>
        <w:t xml:space="preserve">Date: ______________________</w:t>
      </w:r>
    </w:p>
    <w:p>
      <w:pPr>
        <w:pStyle w:val="BodyText"/>
      </w:pPr>
      <w:r>
        <w:rPr>
          <w:bCs/>
          <w:b/>
        </w:rPr>
        <w:t xml:space="preserve">For Gulf Coast Firefighter Supply Co. (Seller)</w:t>
      </w:r>
    </w:p>
    <w:p>
      <w:pPr>
        <w:pStyle w:val="BodyText"/>
      </w:pPr>
      <w:r>
        <w:t xml:space="preserve">Linda K. Vasquez</w:t>
      </w:r>
      <w:r>
        <w:br/>
      </w:r>
      <w:r>
        <w:t xml:space="preserve">Director of Sales</w:t>
      </w:r>
      <w:r>
        <w:br/>
      </w:r>
      <w:r>
        <w:t xml:space="preserve">Date: ______________________</w:t>
      </w:r>
    </w:p>
    <w:p>
      <w:pPr>
        <w:pStyle w:val="BodyText"/>
      </w:pPr>
      <w:r>
        <w:t xml:space="preserve">This</w:t>
      </w:r>
      <w:r>
        <w:t xml:space="preserve"> </w:t>
      </w:r>
      <w:r>
        <w:t xml:space="preserve">Purchase Order</w:t>
      </w:r>
      <w:r>
        <w:t xml:space="preserve"> </w:t>
      </w:r>
      <w:r>
        <w:t xml:space="preserve">(PO No. HFD-2025-FF-04872) is a legally binding document issued by the City of Houston Fire Department for the procurement of</w:t>
      </w:r>
      <w:r>
        <w:t xml:space="preserve"> </w:t>
      </w:r>
      <w:r>
        <w:t xml:space="preserve">Firefighter</w:t>
      </w:r>
      <w:r>
        <w:t xml:space="preserve"> </w:t>
      </w:r>
      <w:r>
        <w:t xml:space="preserve">equipment and protective gear for use in</w:t>
      </w:r>
      <w:r>
        <w:t xml:space="preserve"> </w:t>
      </w:r>
      <w:r>
        <w:t xml:space="preserve">United States Houston</w:t>
      </w:r>
      <w:r>
        <w:t xml:space="preserve">, Texas. This document is valid only when signed by both authorized parties. Unauthorized reproduction or distribution is prohibited. Document Reference: HFD-PROC-2025-Q2-FF-04872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Firefighter Equipment - United States Houston</dc:title>
  <dc:creator/>
  <dc:language>en</dc:language>
  <cp:keywords/>
  <dcterms:created xsi:type="dcterms:W3CDTF">2026-10-10T07:32:20Z</dcterms:created>
  <dcterms:modified xsi:type="dcterms:W3CDTF">2026-10-10T07:32:20Z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