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rPr>
          <w:bCs/>
          <w:b/>
        </w:rPr>
        <w:t xml:space="preserve">Firefighter Equipment &amp; Protective Gear Supply</w:t>
      </w:r>
    </w:p>
    <w:p>
      <w:pPr>
        <w:pStyle w:val="BodyText"/>
      </w:pPr>
      <w:r>
        <w:t xml:space="preserve">Destination: Uzbekistan Tashkent — Tashkent City Fire Department</w:t>
      </w:r>
    </w:p>
    <w:p>
      <w:pPr>
        <w:pStyle w:val="BodyText"/>
      </w:pPr>
      <w:r>
        <w:t xml:space="preserve">PO Number: PO-UZ-TSK-2025-04782</w:t>
      </w:r>
    </w:p>
    <w:p>
      <w:pPr>
        <w:pStyle w:val="BodyText"/>
      </w:pPr>
      <w:r>
        <w:t xml:space="preserve">Date of Issue: 15 June 2025</w:t>
      </w:r>
    </w:p>
    <w:bookmarkEnd w:id="20"/>
    <w:bookmarkStart w:id="21" w:name="buyer-purchasing-authority"/>
    <w:p>
      <w:pPr>
        <w:pStyle w:val="Heading3"/>
      </w:pPr>
      <w:r>
        <w:t xml:space="preserve">Buyer (Purchasing Authority)</w:t>
      </w:r>
    </w:p>
    <w:p>
      <w:pPr>
        <w:pStyle w:val="FirstParagraph"/>
      </w:pPr>
      <w:r>
        <w:rPr>
          <w:bCs/>
          <w:b/>
        </w:rPr>
        <w:t xml:space="preserve">Tashkent City Fire and Rescue Service</w:t>
      </w:r>
      <w:r>
        <w:br/>
      </w:r>
      <w:r>
        <w:t xml:space="preserve">Ministry of Emergency Situations of the Republic of Uzbekistan</w:t>
      </w:r>
      <w:r>
        <w:br/>
      </w:r>
      <w:r>
        <w:t xml:space="preserve">100011, Tashkent, Uzbekistan</w:t>
      </w:r>
      <w:r>
        <w:br/>
      </w:r>
      <w:r>
        <w:t xml:space="preserve">40-Street Amir Temur Avenue, Tashkent 100011</w:t>
      </w:r>
      <w:r>
        <w:br/>
      </w:r>
      <w:r>
        <w:t xml:space="preserve">Contact: procurement@fire.tashkent.uz</w:t>
      </w:r>
      <w:r>
        <w:br/>
      </w:r>
      <w:r>
        <w:t xml:space="preserve">Phone: +998 71 200 45 67</w:t>
      </w:r>
    </w:p>
    <w:bookmarkEnd w:id="21"/>
    <w:bookmarkStart w:id="22" w:name="supplier-vendor"/>
    <w:p>
      <w:pPr>
        <w:pStyle w:val="Heading3"/>
      </w:pPr>
      <w:r>
        <w:t xml:space="preserve">Supplier (Vendor)</w:t>
      </w:r>
    </w:p>
    <w:p>
      <w:pPr>
        <w:pStyle w:val="FirstParagraph"/>
      </w:pPr>
      <w:r>
        <w:rPr>
          <w:bCs/>
          <w:b/>
        </w:rPr>
        <w:t xml:space="preserve">GlobalFire Protection Systems LLC</w:t>
      </w:r>
      <w:r>
        <w:br/>
      </w:r>
      <w:r>
        <w:t xml:space="preserve">2200 Industrial Park Drive, Springfield, IL 62704, USA</w:t>
      </w:r>
      <w:r>
        <w:br/>
      </w:r>
      <w:r>
        <w:t xml:space="preserve">Contact: sales@globalfireprotection.com</w:t>
      </w:r>
      <w:r>
        <w:br/>
      </w:r>
      <w:r>
        <w:t xml:space="preserve">Phone: +1 (217) 555-0192</w:t>
      </w:r>
      <w:r>
        <w:br/>
      </w:r>
      <w:r>
        <w:t xml:space="preserve">Tax ID / EIN: 47-2839105</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Tashkent City Fire and Rescue Service, operating under the Ministry of Emergency Situations of the Republic of Uzbekistan, to procure a comprehensive set of</w:t>
      </w:r>
      <w:r>
        <w:t xml:space="preserve"> </w:t>
      </w:r>
      <w:r>
        <w:t xml:space="preserve">Firefighter</w:t>
      </w:r>
      <w:r>
        <w:t xml:space="preserve"> </w:t>
      </w:r>
      <w:r>
        <w:t xml:space="preserve">personal protective equipment (PPE), structural firefighting gear, and specialized rescue apparatus. The entire shipment shall be delivered to the designated receiving facility located in</w:t>
      </w:r>
      <w:r>
        <w:t xml:space="preserve"> </w:t>
      </w:r>
      <w:r>
        <w:t xml:space="preserve">Uzbekistan Tashkent</w:t>
      </w:r>
      <w:r>
        <w:t xml:space="preserve">, specifically at the Central Fire Station Depot on Amir Temur Avenue. This</w:t>
      </w:r>
      <w:r>
        <w:t xml:space="preserve"> </w:t>
      </w:r>
      <w:r>
        <w:t xml:space="preserve">Purchase Order</w:t>
      </w:r>
      <w:r>
        <w:t xml:space="preserve"> </w:t>
      </w:r>
      <w:r>
        <w:t xml:space="preserve">is governed by the procurement regulations of the Republic of Uzbekistan and the applicable international trade agreements. All</w:t>
      </w:r>
      <w:r>
        <w:t xml:space="preserve"> </w:t>
      </w:r>
      <w:r>
        <w:t xml:space="preserve">Firefighter</w:t>
      </w:r>
      <w:r>
        <w:t xml:space="preserve"> </w:t>
      </w:r>
      <w:r>
        <w:t xml:space="preserve">equipment listed herein must comply with the National Fire Safety Standards of Uzbekistan (O'z DSt 3152-2019) as well as international EN 469 and NFPA 1971 standards to ensure the safety and operational readiness of every</w:t>
      </w:r>
      <w:r>
        <w:t xml:space="preserve"> </w:t>
      </w:r>
      <w:r>
        <w:t xml:space="preserve">Firefighter</w:t>
      </w:r>
      <w:r>
        <w:t xml:space="preserve"> </w:t>
      </w:r>
      <w:r>
        <w:t xml:space="preserve">deployed across the</w:t>
      </w:r>
      <w:r>
        <w:t xml:space="preserve"> </w:t>
      </w:r>
      <w:r>
        <w:t xml:space="preserve">Uzbekistan Tashkent</w:t>
      </w:r>
      <w:r>
        <w:t xml:space="preserve"> </w:t>
      </w:r>
      <w:r>
        <w:t xml:space="preserve">metropolitan area.</w:t>
      </w:r>
    </w:p>
    <w:p>
      <w:pPr>
        <w:pStyle w:val="BodyText"/>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Firefighter Structural Turnout Coat</w:t>
            </w:r>
          </w:p>
        </w:tc>
        <w:tc>
          <w:tcPr/>
          <w:p>
            <w:pPr>
              <w:pStyle w:val="Compact"/>
              <w:jc w:val="left"/>
            </w:pPr>
            <w:r>
              <w:t xml:space="preserve">EN 469 / NFPA 1971, 3-layer, reflective trim</w:t>
            </w:r>
          </w:p>
        </w:tc>
        <w:tc>
          <w:tcPr/>
          <w:p>
            <w:pPr>
              <w:pStyle w:val="Compact"/>
              <w:jc w:val="left"/>
            </w:pPr>
            <w:r>
              <w:t xml:space="preserve">250</w:t>
            </w:r>
          </w:p>
        </w:tc>
        <w:tc>
          <w:tcPr/>
          <w:p>
            <w:pPr>
              <w:pStyle w:val="Compact"/>
              <w:jc w:val="left"/>
            </w:pPr>
            <w:r>
              <w:t xml:space="preserve">485.00</w:t>
            </w:r>
          </w:p>
        </w:tc>
        <w:tc>
          <w:tcPr/>
          <w:p>
            <w:pPr>
              <w:pStyle w:val="Compact"/>
              <w:jc w:val="left"/>
            </w:pPr>
            <w:r>
              <w:t xml:space="preserve">121,250.00</w:t>
            </w:r>
          </w:p>
        </w:tc>
      </w:tr>
      <w:tr>
        <w:tc>
          <w:tcPr/>
          <w:p>
            <w:pPr>
              <w:pStyle w:val="Compact"/>
              <w:jc w:val="left"/>
            </w:pPr>
            <w:r>
              <w:t xml:space="preserve">02</w:t>
            </w:r>
          </w:p>
        </w:tc>
        <w:tc>
          <w:tcPr/>
          <w:p>
            <w:pPr>
              <w:pStyle w:val="Compact"/>
              <w:jc w:val="left"/>
            </w:pPr>
            <w:r>
              <w:t xml:space="preserve">Firefighter Structural Turnout Pants</w:t>
            </w:r>
          </w:p>
        </w:tc>
        <w:tc>
          <w:tcPr/>
          <w:p>
            <w:pPr>
              <w:pStyle w:val="Compact"/>
              <w:jc w:val="left"/>
            </w:pPr>
            <w:r>
              <w:t xml:space="preserve">EN 469 / NFPA 1971, 3-layer, reflective trim</w:t>
            </w:r>
          </w:p>
        </w:tc>
        <w:tc>
          <w:tcPr/>
          <w:p>
            <w:pPr>
              <w:pStyle w:val="Compact"/>
              <w:jc w:val="left"/>
            </w:pPr>
            <w:r>
              <w:t xml:space="preserve">250</w:t>
            </w:r>
          </w:p>
        </w:tc>
        <w:tc>
          <w:tcPr/>
          <w:p>
            <w:pPr>
              <w:pStyle w:val="Compact"/>
              <w:jc w:val="left"/>
            </w:pPr>
            <w:r>
              <w:t xml:space="preserve">410.00</w:t>
            </w:r>
          </w:p>
        </w:tc>
        <w:tc>
          <w:tcPr/>
          <w:p>
            <w:pPr>
              <w:pStyle w:val="Compact"/>
              <w:jc w:val="left"/>
            </w:pPr>
            <w:r>
              <w:t xml:space="preserve">102,500.00</w:t>
            </w:r>
          </w:p>
        </w:tc>
      </w:tr>
      <w:tr>
        <w:tc>
          <w:tcPr/>
          <w:p>
            <w:pPr>
              <w:pStyle w:val="Compact"/>
              <w:jc w:val="left"/>
            </w:pPr>
            <w:r>
              <w:t xml:space="preserve">03</w:t>
            </w:r>
          </w:p>
        </w:tc>
        <w:tc>
          <w:tcPr/>
          <w:p>
            <w:pPr>
              <w:pStyle w:val="Compact"/>
              <w:jc w:val="left"/>
            </w:pPr>
            <w:r>
              <w:t xml:space="preserve">Firefighter Helmet with Face Shield</w:t>
            </w:r>
          </w:p>
        </w:tc>
        <w:tc>
          <w:tcPr/>
          <w:p>
            <w:pPr>
              <w:pStyle w:val="Compact"/>
              <w:jc w:val="left"/>
            </w:pPr>
            <w:r>
              <w:t xml:space="preserve">EN 443, composite shell, full visor</w:t>
            </w:r>
          </w:p>
        </w:tc>
        <w:tc>
          <w:tcPr/>
          <w:p>
            <w:pPr>
              <w:pStyle w:val="Compact"/>
              <w:jc w:val="left"/>
            </w:pPr>
            <w:r>
              <w:t xml:space="preserve">250</w:t>
            </w:r>
          </w:p>
        </w:tc>
        <w:tc>
          <w:tcPr/>
          <w:p>
            <w:pPr>
              <w:pStyle w:val="Compact"/>
              <w:jc w:val="left"/>
            </w:pPr>
            <w:r>
              <w:t xml:space="preserve">195.00</w:t>
            </w:r>
          </w:p>
        </w:tc>
        <w:tc>
          <w:tcPr/>
          <w:p>
            <w:pPr>
              <w:pStyle w:val="Compact"/>
              <w:jc w:val="left"/>
            </w:pPr>
            <w:r>
              <w:t xml:space="preserve">48,750.00</w:t>
            </w:r>
          </w:p>
        </w:tc>
      </w:tr>
      <w:tr>
        <w:tc>
          <w:tcPr/>
          <w:p>
            <w:pPr>
              <w:pStyle w:val="Compact"/>
              <w:jc w:val="left"/>
            </w:pPr>
            <w:r>
              <w:t xml:space="preserve">04</w:t>
            </w:r>
          </w:p>
        </w:tc>
        <w:tc>
          <w:tcPr/>
          <w:p>
            <w:pPr>
              <w:pStyle w:val="Compact"/>
              <w:jc w:val="left"/>
            </w:pPr>
            <w:r>
              <w:t xml:space="preserve">Firefighter Self-Contained Breathing Apparatus (SCBA)</w:t>
            </w:r>
          </w:p>
        </w:tc>
        <w:tc>
          <w:tcPr/>
          <w:p>
            <w:pPr>
              <w:pStyle w:val="Compact"/>
              <w:jc w:val="left"/>
            </w:pPr>
            <w:r>
              <w:t xml:space="preserve">EN 137, 3000 bar, 30-min cylinder</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05</w:t>
            </w:r>
          </w:p>
        </w:tc>
        <w:tc>
          <w:tcPr/>
          <w:p>
            <w:pPr>
              <w:pStyle w:val="Compact"/>
              <w:jc w:val="left"/>
            </w:pPr>
            <w:r>
              <w:t xml:space="preserve">Firefighter Thermal Imaging Camera</w:t>
            </w:r>
          </w:p>
        </w:tc>
        <w:tc>
          <w:tcPr/>
          <w:p>
            <w:pPr>
              <w:pStyle w:val="Compact"/>
              <w:jc w:val="left"/>
            </w:pPr>
            <w:r>
              <w:t xml:space="preserve">640x480 resolution, 8-hour battery</w:t>
            </w:r>
          </w:p>
        </w:tc>
        <w:tc>
          <w:tcPr/>
          <w:p>
            <w:pPr>
              <w:pStyle w:val="Compact"/>
              <w:jc w:val="left"/>
            </w:pPr>
            <w:r>
              <w:t xml:space="preserve">40</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06</w:t>
            </w:r>
          </w:p>
        </w:tc>
        <w:tc>
          <w:tcPr/>
          <w:p>
            <w:pPr>
              <w:pStyle w:val="Compact"/>
              <w:jc w:val="left"/>
            </w:pPr>
            <w:r>
              <w:t xml:space="preserve">Firefighter Protective Gloves (Structural)</w:t>
            </w:r>
          </w:p>
        </w:tc>
        <w:tc>
          <w:tcPr/>
          <w:p>
            <w:pPr>
              <w:pStyle w:val="Compact"/>
              <w:jc w:val="left"/>
            </w:pPr>
            <w:r>
              <w:t xml:space="preserve">EN 659, Kevlar-lined, 300mm cuff</w:t>
            </w:r>
          </w:p>
        </w:tc>
        <w:tc>
          <w:tcPr/>
          <w:p>
            <w:pPr>
              <w:pStyle w:val="Compact"/>
              <w:jc w:val="left"/>
            </w:pPr>
            <w:r>
              <w:t xml:space="preserve">500</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07</w:t>
            </w:r>
          </w:p>
        </w:tc>
        <w:tc>
          <w:tcPr/>
          <w:p>
            <w:pPr>
              <w:pStyle w:val="Compact"/>
              <w:jc w:val="left"/>
            </w:pPr>
            <w:r>
              <w:t xml:space="preserve">Firefighter Safety Boots (Metatarsal Guard)</w:t>
            </w:r>
          </w:p>
        </w:tc>
        <w:tc>
          <w:tcPr/>
          <w:p>
            <w:pPr>
              <w:pStyle w:val="Compact"/>
              <w:jc w:val="left"/>
            </w:pPr>
            <w:r>
              <w:t xml:space="preserve">EN ISO 20345 S3, heat-resistant sole</w:t>
            </w:r>
          </w:p>
        </w:tc>
        <w:tc>
          <w:tcPr/>
          <w:p>
            <w:pPr>
              <w:pStyle w:val="Compact"/>
              <w:jc w:val="left"/>
            </w:pPr>
            <w:r>
              <w:t xml:space="preserve">250</w:t>
            </w:r>
          </w:p>
        </w:tc>
        <w:tc>
          <w:tcPr/>
          <w:p>
            <w:pPr>
              <w:pStyle w:val="Compact"/>
              <w:jc w:val="left"/>
            </w:pPr>
            <w:r>
              <w:t xml:space="preserve">220.00</w:t>
            </w:r>
          </w:p>
        </w:tc>
        <w:tc>
          <w:tcPr/>
          <w:p>
            <w:pPr>
              <w:pStyle w:val="Compact"/>
              <w:jc w:val="left"/>
            </w:pPr>
            <w:r>
              <w:t xml:space="preserve">55,000.00</w:t>
            </w:r>
          </w:p>
        </w:tc>
      </w:tr>
      <w:tr>
        <w:tc>
          <w:tcPr/>
          <w:p>
            <w:pPr>
              <w:pStyle w:val="Compact"/>
              <w:jc w:val="left"/>
            </w:pPr>
            <w:r>
              <w:t xml:space="preserve">08</w:t>
            </w:r>
          </w:p>
        </w:tc>
        <w:tc>
          <w:tcPr/>
          <w:p>
            <w:pPr>
              <w:pStyle w:val="Compact"/>
              <w:jc w:val="left"/>
            </w:pPr>
            <w:r>
              <w:t xml:space="preserve">Firefighter Radio Communication Set (UHF)</w:t>
            </w:r>
          </w:p>
        </w:tc>
        <w:tc>
          <w:tcPr/>
          <w:p>
            <w:pPr>
              <w:pStyle w:val="Compact"/>
              <w:jc w:val="left"/>
            </w:pPr>
            <w:r>
              <w:t xml:space="preserve">IP67, 5W, 12-hour battery, encrypted</w:t>
            </w:r>
          </w:p>
        </w:tc>
        <w:tc>
          <w:tcPr/>
          <w:p>
            <w:pPr>
              <w:pStyle w:val="Compact"/>
              <w:jc w:val="left"/>
            </w:pPr>
            <w:r>
              <w:t xml:space="preserve">250</w:t>
            </w:r>
          </w:p>
        </w:tc>
        <w:tc>
          <w:tcPr/>
          <w:p>
            <w:pPr>
              <w:pStyle w:val="Compact"/>
              <w:jc w:val="left"/>
            </w:pPr>
            <w:r>
              <w:t xml:space="preserve">340.00</w:t>
            </w:r>
          </w:p>
        </w:tc>
        <w:tc>
          <w:tcPr/>
          <w:p>
            <w:pPr>
              <w:pStyle w:val="Compact"/>
              <w:jc w:val="left"/>
            </w:pPr>
            <w:r>
              <w:t xml:space="preserve">85,000.00</w:t>
            </w:r>
          </w:p>
        </w:tc>
      </w:tr>
      <w:tr>
        <w:tc>
          <w:tcPr/>
          <w:p>
            <w:pPr>
              <w:pStyle w:val="Compact"/>
              <w:jc w:val="left"/>
            </w:pPr>
            <w:r>
              <w:t xml:space="preserve">09</w:t>
            </w:r>
          </w:p>
        </w:tc>
        <w:tc>
          <w:tcPr/>
          <w:p>
            <w:pPr>
              <w:pStyle w:val="Compact"/>
              <w:jc w:val="left"/>
            </w:pPr>
            <w:r>
              <w:t xml:space="preserve">Firefighter Rescue Harness &amp; Lanyard Kit</w:t>
            </w:r>
          </w:p>
        </w:tc>
        <w:tc>
          <w:tcPr/>
          <w:p>
            <w:pPr>
              <w:pStyle w:val="Compact"/>
              <w:jc w:val="left"/>
            </w:pPr>
            <w:r>
              <w:t xml:space="preserve">EN 361 / EN 358, 220 kg load rating</w:t>
            </w:r>
          </w:p>
        </w:tc>
        <w:tc>
          <w:tcPr/>
          <w:p>
            <w:pPr>
              <w:pStyle w:val="Compact"/>
              <w:jc w:val="left"/>
            </w:pPr>
            <w:r>
              <w:t xml:space="preserve">100</w:t>
            </w:r>
          </w:p>
        </w:tc>
        <w:tc>
          <w:tcPr/>
          <w:p>
            <w:pPr>
              <w:pStyle w:val="Compact"/>
              <w:jc w:val="left"/>
            </w:pPr>
            <w:r>
              <w:t xml:space="preserve">275.00</w:t>
            </w:r>
          </w:p>
        </w:tc>
        <w:tc>
          <w:tcPr/>
          <w:p>
            <w:pPr>
              <w:pStyle w:val="Compact"/>
              <w:jc w:val="left"/>
            </w:pPr>
            <w:r>
              <w:t xml:space="preserve">27,500.00</w:t>
            </w:r>
          </w:p>
        </w:tc>
      </w:tr>
      <w:tr>
        <w:tc>
          <w:tcPr/>
          <w:p>
            <w:pPr>
              <w:pStyle w:val="Compact"/>
              <w:jc w:val="left"/>
            </w:pPr>
            <w:r>
              <w:t xml:space="preserve">10</w:t>
            </w:r>
          </w:p>
        </w:tc>
        <w:tc>
          <w:tcPr/>
          <w:p>
            <w:pPr>
              <w:pStyle w:val="Compact"/>
              <w:jc w:val="left"/>
            </w:pPr>
            <w:r>
              <w:t xml:space="preserve">Firefighter First-Aid &amp; Burn Treatment Kit</w:t>
            </w:r>
          </w:p>
        </w:tc>
        <w:tc>
          <w:tcPr/>
          <w:p>
            <w:pPr>
              <w:pStyle w:val="Compact"/>
              <w:jc w:val="left"/>
            </w:pPr>
            <w:r>
              <w:t xml:space="preserve">Customized for Uzbekistan Tashkent fire stations</w:t>
            </w:r>
          </w:p>
        </w:tc>
        <w:tc>
          <w:tcPr/>
          <w:p>
            <w:pPr>
              <w:pStyle w:val="Compact"/>
              <w:jc w:val="left"/>
            </w:pPr>
            <w:r>
              <w:t xml:space="preserve">50</w:t>
            </w:r>
          </w:p>
        </w:tc>
        <w:tc>
          <w:tcPr/>
          <w:p>
            <w:pPr>
              <w:pStyle w:val="Compact"/>
              <w:jc w:val="left"/>
            </w:pPr>
            <w:r>
              <w:t xml:space="preserve">150.00</w:t>
            </w:r>
          </w:p>
        </w:tc>
        <w:tc>
          <w:tcPr/>
          <w:p>
            <w:pPr>
              <w:pStyle w:val="Compact"/>
              <w:jc w:val="left"/>
            </w:pPr>
            <w:r>
              <w:t xml:space="preserve">7,500.00</w:t>
            </w:r>
          </w:p>
        </w:tc>
      </w:tr>
      <w:tr>
        <w:tc>
          <w:tcPr>
            <w:gridSpan w:val="5"/>
          </w:tcPr>
          <w:p>
            <w:pPr>
              <w:pStyle w:val="Compact"/>
              <w:jc w:val="right"/>
            </w:pPr>
            <w:r>
              <w:t xml:space="preserve">SUBTOTAL</w:t>
            </w:r>
          </w:p>
        </w:tc>
        <w:tc>
          <w:tcPr/>
          <w:p>
            <w:pPr>
              <w:pStyle w:val="Compact"/>
              <w:jc w:val="left"/>
            </w:pPr>
            <w:r>
              <w:t xml:space="preserve">840,000.00</w:t>
            </w:r>
          </w:p>
        </w:tc>
      </w:tr>
      <w:tr>
        <w:tc>
          <w:tcPr>
            <w:gridSpan w:val="5"/>
          </w:tcPr>
          <w:p>
            <w:pPr>
              <w:pStyle w:val="Compact"/>
              <w:jc w:val="right"/>
            </w:pPr>
            <w:r>
              <w:t xml:space="preserve">International Shipping &amp; Insurance (CIF Tashkent)</w:t>
            </w:r>
          </w:p>
        </w:tc>
        <w:tc>
          <w:tcPr/>
          <w:p>
            <w:pPr>
              <w:pStyle w:val="Compact"/>
              <w:jc w:val="left"/>
            </w:pPr>
            <w:r>
              <w:t xml:space="preserve">38,400.00</w:t>
            </w:r>
          </w:p>
        </w:tc>
      </w:tr>
      <w:tr>
        <w:tc>
          <w:tcPr>
            <w:gridSpan w:val="5"/>
          </w:tcPr>
          <w:p>
            <w:pPr>
              <w:pStyle w:val="Compact"/>
              <w:jc w:val="right"/>
            </w:pPr>
            <w:r>
              <w:t xml:space="preserve">Import Duty &amp; VAT (Uzbekistan, 12%)</w:t>
            </w:r>
          </w:p>
        </w:tc>
        <w:tc>
          <w:tcPr/>
          <w:p>
            <w:pPr>
              <w:pStyle w:val="Compact"/>
              <w:jc w:val="left"/>
            </w:pPr>
            <w:r>
              <w:t xml:space="preserve">104,832.00</w:t>
            </w:r>
          </w:p>
        </w:tc>
      </w:tr>
      <w:tr>
        <w:tc>
          <w:tcPr>
            <w:gridSpan w:val="5"/>
          </w:tcPr>
          <w:p>
            <w:pPr>
              <w:pStyle w:val="Compact"/>
              <w:jc w:val="right"/>
            </w:pPr>
            <w:r>
              <w:t xml:space="preserve">GRAND TOTAL (USD)</w:t>
            </w:r>
          </w:p>
        </w:tc>
        <w:tc>
          <w:tcPr/>
          <w:p>
            <w:pPr>
              <w:pStyle w:val="Compact"/>
              <w:jc w:val="left"/>
            </w:pPr>
            <w:r>
              <w:t xml:space="preserve">983,232.00</w:t>
            </w:r>
          </w:p>
        </w:tc>
      </w:tr>
    </w:tbl>
    <w:p>
      <w:pPr>
        <w:pStyle w:val="BodyText"/>
      </w:pPr>
      <w:r>
        <w:t xml:space="preserve">3. DELIVERY TERMS AND LOGISTICS</w:t>
      </w:r>
    </w:p>
    <w:p>
      <w:pPr>
        <w:pStyle w:val="BodyText"/>
      </w:pPr>
      <w:r>
        <w:t xml:space="preserve">The Supplier shall deliver all</w:t>
      </w:r>
      <w:r>
        <w:t xml:space="preserve"> </w:t>
      </w:r>
      <w:r>
        <w:t xml:space="preserve">Firefighter</w:t>
      </w:r>
      <w:r>
        <w:t xml:space="preserve"> </w:t>
      </w:r>
      <w:r>
        <w:t xml:space="preserve">equipment listed in this</w:t>
      </w:r>
      <w:r>
        <w:t xml:space="preserve"> </w:t>
      </w:r>
      <w:r>
        <w:t xml:space="preserve">Purchase Order</w:t>
      </w:r>
      <w:r>
        <w:t xml:space="preserve"> </w:t>
      </w:r>
      <w:r>
        <w:t xml:space="preserve">to the following address in</w:t>
      </w:r>
      <w:r>
        <w:t xml:space="preserve"> </w:t>
      </w:r>
      <w:r>
        <w:t xml:space="preserve">Uzbekistan Tashkent</w:t>
      </w:r>
      <w:r>
        <w:t xml:space="preserve">: Central Fire Station Depot, 40 Amir Temur Avenue, Tashkent 100011, Republic of Uzbekistan. Delivery shall be made on a CIF (Cost, Insurance, and Freight) basis to the Port of Tashkent Inland Terminal. The Supplier is responsible for all packaging, crating, and labeling in accordance with the customs requirements of the Republic of Uzbekistan. Each crate must be clearly marked with the words</w:t>
      </w:r>
      <w:r>
        <w:t xml:space="preserve"> </w:t>
      </w:r>
      <w:r>
        <w:rPr>
          <w:iCs/>
          <w:i/>
        </w:rPr>
        <w:t xml:space="preserve">"Firefighter Equipment – Fragile – Keep Dry"</w:t>
      </w:r>
      <w:r>
        <w:t xml:space="preserve"> </w:t>
      </w:r>
      <w:r>
        <w:t xml:space="preserve">and the corresponding PO number. The estimated delivery window is no later than 90 calendar days from the date of this</w:t>
      </w:r>
      <w:r>
        <w:t xml:space="preserve"> </w:t>
      </w:r>
      <w:r>
        <w:t xml:space="preserve">Purchase Order</w:t>
      </w:r>
      <w:r>
        <w:t xml:space="preserve">. The Supplier must provide a Bill of Lading, Certificate of Origin, and a detailed Packing List to the Uzbekistan customs authority at the Tashkent International Airport or the Tashkent Inland Dry Port prior to arrival. All</w:t>
      </w:r>
      <w:r>
        <w:t xml:space="preserve"> </w:t>
      </w:r>
      <w:r>
        <w:t xml:space="preserve">Firefighter</w:t>
      </w:r>
      <w:r>
        <w:t xml:space="preserve"> </w:t>
      </w:r>
      <w:r>
        <w:t xml:space="preserve">gear must be new, unused, and accompanied by manufacturer warranties valid for a minimum of five (5) years from the date of delivery in</w:t>
      </w:r>
      <w:r>
        <w:t xml:space="preserve"> </w:t>
      </w:r>
      <w:r>
        <w:t xml:space="preserve">Uzbekistan Tashkent</w:t>
      </w:r>
      <w:r>
        <w:t xml:space="preserve">.</w:t>
      </w:r>
    </w:p>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United States Dollars (USD) via irrevocable Letter of Credit (LC) issued by the National Bank of the Republic of Uzbekistan, Tashkent branch, in favor of the Supplier. The payment schedule is as follows: (a) 30% advance payment upon confirmation of the</w:t>
      </w:r>
      <w:r>
        <w:t xml:space="preserve"> </w:t>
      </w:r>
      <w:r>
        <w:t xml:space="preserve">Purchase Order</w:t>
      </w:r>
      <w:r>
        <w:t xml:space="preserve"> </w:t>
      </w:r>
      <w:r>
        <w:t xml:space="preserve">and issuance of the LC; (b) 50% upon presentation of shipping documents and proof of dispatch from the Supplier's facility; and (c) the remaining 20% upon successful inspection, acceptance, and installation of all</w:t>
      </w:r>
      <w:r>
        <w:t xml:space="preserve"> </w:t>
      </w:r>
      <w:r>
        <w:t xml:space="preserve">Firefighter</w:t>
      </w:r>
      <w:r>
        <w:t xml:space="preserve"> </w:t>
      </w:r>
      <w:r>
        <w:t xml:space="preserve">equipment at the receiving depot in</w:t>
      </w:r>
      <w:r>
        <w:t xml:space="preserve"> </w:t>
      </w:r>
      <w:r>
        <w:t xml:space="preserve">Uzbekistan Tashkent</w:t>
      </w:r>
      <w:r>
        <w:t xml:space="preserve">. Late payment beyond the stipulated terms shall incur a penalty of 1.5% per month. The Supplier shall provide a valid tax invoice for each disbursement in accordance with the tax code of the Republic of Uzbekistan.</w:t>
      </w:r>
    </w:p>
    <w:p>
      <w:pPr>
        <w:pStyle w:val="BodyText"/>
      </w:pPr>
      <w:r>
        <w:t xml:space="preserve">5. QUALITY ASSURANCE AND INSPECTION</w:t>
      </w:r>
    </w:p>
    <w:p>
      <w:pPr>
        <w:pStyle w:val="BodyText"/>
      </w:pPr>
      <w:r>
        <w:t xml:space="preserve">Upon arrival in</w:t>
      </w:r>
      <w:r>
        <w:t xml:space="preserve"> </w:t>
      </w:r>
      <w:r>
        <w:t xml:space="preserve">Uzbekistan Tashkent</w:t>
      </w:r>
      <w:r>
        <w:t xml:space="preserve">, a joint inspection team comprising representatives of the Tashkent City Fire and Rescue Service and an independent third-party quality assurance firm shall inspect all</w:t>
      </w:r>
      <w:r>
        <w:t xml:space="preserve"> </w:t>
      </w:r>
      <w:r>
        <w:t xml:space="preserve">Firefighter</w:t>
      </w:r>
      <w:r>
        <w:t xml:space="preserve"> </w:t>
      </w:r>
      <w:r>
        <w:t xml:space="preserve">equipment within ten (10) business days. Any items found to be defective, damaged in transit, or non-compliant with the specifications stated in this</w:t>
      </w:r>
      <w:r>
        <w:t xml:space="preserve"> </w:t>
      </w:r>
      <w:r>
        <w:t xml:space="preserve">Purchase Order</w:t>
      </w:r>
      <w:r>
        <w:t xml:space="preserve"> </w:t>
      </w:r>
      <w:r>
        <w:t xml:space="preserve">shall be rejected and returned to the Supplier at the Supplier's sole expense. The Supplier guarantees that all</w:t>
      </w:r>
      <w:r>
        <w:t xml:space="preserve"> </w:t>
      </w:r>
      <w:r>
        <w:t xml:space="preserve">Firefighter</w:t>
      </w:r>
      <w:r>
        <w:t xml:space="preserve"> </w:t>
      </w:r>
      <w:r>
        <w:t xml:space="preserve">PPE and apparatus meet or exceed the standards referenced in Section 1. A full set of test certificates, material safety data sheets (MSDS), and user manuals in both English and Uzbek shall accompany each shipment. The Supplier shall also provide a two-day on-site training session in</w:t>
      </w:r>
      <w:r>
        <w:t xml:space="preserve"> </w:t>
      </w:r>
      <w:r>
        <w:t xml:space="preserve">Uzbekistan Tashkent</w:t>
      </w:r>
      <w:r>
        <w:t xml:space="preserve"> </w:t>
      </w:r>
      <w:r>
        <w:t xml:space="preserve">for the receiving</w:t>
      </w:r>
      <w:r>
        <w:t xml:space="preserve"> </w:t>
      </w:r>
      <w:r>
        <w:t xml:space="preserve">Firefighter</w:t>
      </w:r>
      <w:r>
        <w:t xml:space="preserve"> </w:t>
      </w:r>
      <w:r>
        <w:t xml:space="preserve">personnel on the proper use, maintenance, and storage of the thermal imaging cameras, SCBA units, and radio communication sets.</w:t>
      </w:r>
    </w:p>
    <w:p>
      <w:pPr>
        <w:pStyle w:val="BodyText"/>
      </w:pPr>
      <w:r>
        <w:t xml:space="preserve">6. WARRANTIES AND LIABILITY</w:t>
      </w:r>
    </w:p>
    <w:p>
      <w:pPr>
        <w:pStyle w:val="BodyText"/>
      </w:pPr>
      <w:r>
        <w:t xml:space="preserve">The Supplier warrants that all goods furnished under this</w:t>
      </w:r>
      <w:r>
        <w:t xml:space="preserve"> </w:t>
      </w:r>
      <w:r>
        <w:t xml:space="preserve">Purchase Order</w:t>
      </w:r>
      <w:r>
        <w:t xml:space="preserve"> </w:t>
      </w:r>
      <w:r>
        <w:t xml:space="preserve">are free from defects in material and workmanship. The warranty period for structural</w:t>
      </w:r>
      <w:r>
        <w:t xml:space="preserve"> </w:t>
      </w:r>
      <w:r>
        <w:t xml:space="preserve">Firefighter</w:t>
      </w:r>
      <w:r>
        <w:t xml:space="preserve"> </w:t>
      </w:r>
      <w:r>
        <w:t xml:space="preserve">turnout gear (coats, pants, helmets, boots, gloves) is five (5) years from the date of acceptance in</w:t>
      </w:r>
      <w:r>
        <w:t xml:space="preserve"> </w:t>
      </w:r>
      <w:r>
        <w:t xml:space="preserve">Uzbekistan Tashkent</w:t>
      </w:r>
      <w:r>
        <w:t xml:space="preserve">. The warranty period for SCBA units, thermal imaging cameras, and radio sets is three (3) years. The Supplier shall repair or replace, at no additional cost, any</w:t>
      </w:r>
      <w:r>
        <w:t xml:space="preserve"> </w:t>
      </w:r>
      <w:r>
        <w:t xml:space="preserve">Firefighter</w:t>
      </w:r>
      <w:r>
        <w:t xml:space="preserve"> </w:t>
      </w:r>
      <w:r>
        <w:t xml:space="preserve">equipment that fails within the warranty period due to manufacturing defects. The Supplier's total liability under this</w:t>
      </w:r>
      <w:r>
        <w:t xml:space="preserve"> </w:t>
      </w:r>
      <w:r>
        <w:t xml:space="preserve">Purchase Order</w:t>
      </w:r>
      <w:r>
        <w:t xml:space="preserve"> </w:t>
      </w:r>
      <w:r>
        <w:t xml:space="preserve">shall not exceed the Grand Total amount stated herein. This</w:t>
      </w:r>
      <w:r>
        <w:t xml:space="preserve"> </w:t>
      </w:r>
      <w:r>
        <w:t xml:space="preserve">Purchase Order</w:t>
      </w:r>
      <w:r>
        <w:t xml:space="preserve"> </w:t>
      </w:r>
      <w:r>
        <w:t xml:space="preserve">shall be governed by and construed in accordance with the laws of the Republic of Uzbekistan, and any disputes shall be resolved through arbitration at the International Commercial Arbitration Court under the Chamber of Commerce and Industry of the Republic of Uzbekistan, seated in Tashkent.</w:t>
      </w:r>
    </w:p>
    <w:p>
      <w:pPr>
        <w:pStyle w:val="BodyText"/>
      </w:pPr>
      <w:r>
        <w:t xml:space="preserve">7. GENERAL CONDITIONS</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the issuance of the Letter of Credit.</w:t>
      </w:r>
    </w:p>
    <w:p>
      <w:pPr>
        <w:numPr>
          <w:ilvl w:val="0"/>
          <w:numId w:val="1001"/>
        </w:numPr>
        <w:pStyle w:val="Compact"/>
      </w:pPr>
      <w:r>
        <w:t xml:space="preserve">Any modifications to this</w:t>
      </w:r>
      <w:r>
        <w:t xml:space="preserve"> </w:t>
      </w:r>
      <w:r>
        <w:t xml:space="preserve">Purchase Order</w:t>
      </w:r>
      <w:r>
        <w:t xml:space="preserve"> </w:t>
      </w:r>
      <w:r>
        <w:t xml:space="preserve">must be made in writing and signed by authorized representatives of both the Buyer and the Supplier.</w:t>
      </w:r>
    </w:p>
    <w:p>
      <w:pPr>
        <w:numPr>
          <w:ilvl w:val="0"/>
          <w:numId w:val="1001"/>
        </w:numPr>
        <w:pStyle w:val="Compact"/>
      </w:pPr>
      <w:r>
        <w:t xml:space="preserve">The Supplier shall maintain adequate insurance coverage for all</w:t>
      </w:r>
      <w:r>
        <w:t xml:space="preserve"> </w:t>
      </w:r>
      <w:r>
        <w:t xml:space="preserve">Firefighter</w:t>
      </w:r>
      <w:r>
        <w:t xml:space="preserve"> </w:t>
      </w:r>
      <w:r>
        <w:t xml:space="preserve">equipment in transit to</w:t>
      </w:r>
      <w:r>
        <w:t xml:space="preserve"> </w:t>
      </w:r>
      <w:r>
        <w:t xml:space="preserve">Uzbekistan Tashkent</w:t>
      </w:r>
      <w:r>
        <w:t xml:space="preserve">.</w:t>
      </w:r>
    </w:p>
    <w:p>
      <w:pPr>
        <w:numPr>
          <w:ilvl w:val="0"/>
          <w:numId w:val="1001"/>
        </w:numPr>
        <w:pStyle w:val="Compact"/>
      </w:pPr>
      <w:r>
        <w:t xml:space="preserve">The Buyer reserves the right to cancel this</w:t>
      </w:r>
      <w:r>
        <w:t xml:space="preserve"> </w:t>
      </w:r>
      <w:r>
        <w:t xml:space="preserve">Purchase Order</w:t>
      </w:r>
      <w:r>
        <w:t xml:space="preserve"> </w:t>
      </w:r>
      <w:r>
        <w:t xml:space="preserve">in whole or in part with 30 days' written notice if the Supplier fails to meet the delivery deadline.</w:t>
      </w:r>
    </w:p>
    <w:p>
      <w:pPr>
        <w:numPr>
          <w:ilvl w:val="0"/>
          <w:numId w:val="1001"/>
        </w:numPr>
        <w:pStyle w:val="Compact"/>
      </w:pPr>
      <w:r>
        <w:t xml:space="preserve">All intellectual property rights related to the</w:t>
      </w:r>
      <w:r>
        <w:t xml:space="preserve"> </w:t>
      </w:r>
      <w:r>
        <w:t xml:space="preserve">Firefighter</w:t>
      </w:r>
      <w:r>
        <w:t xml:space="preserve"> </w:t>
      </w:r>
      <w:r>
        <w:t xml:space="preserve">equipment designs remain with the Supplier; the Buyer receives a non-exclusive license to use the equipment for official fire and rescue operations in</w:t>
      </w:r>
      <w:r>
        <w:t xml:space="preserve"> </w:t>
      </w:r>
      <w:r>
        <w:t xml:space="preserve">Uzbekistan Tashkent</w:t>
      </w:r>
      <w:r>
        <w:t xml:space="preserve">.</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and supersedes all prior negotiations, representations, or agreements relating to the subject matter herein.</w:t>
      </w:r>
    </w:p>
    <w:p>
      <w:pPr>
        <w:pStyle w:val="FirstParagraph"/>
      </w:pPr>
      <w:r>
        <w:rPr>
          <w:bCs/>
          <w:b/>
        </w:rPr>
        <w:t xml:space="preserve">For and on behalf of the Buyer:</w:t>
      </w:r>
    </w:p>
    <w:p>
      <w:pPr>
        <w:pStyle w:val="BodyText"/>
      </w:pPr>
      <w:r>
        <w:t xml:space="preserve">Tashkent City Fire and Rescue Service</w:t>
      </w:r>
      <w:r>
        <w:br/>
      </w:r>
      <w:r>
        <w:t xml:space="preserve">Ministry of Emergency Situations, Republic of Uzbekistan</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and on behalf of the Supplier:</w:t>
      </w:r>
    </w:p>
    <w:p>
      <w:pPr>
        <w:pStyle w:val="BodyText"/>
      </w:pPr>
      <w:r>
        <w:t xml:space="preserve">GlobalFire Protection Systems LLC</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Vice President, International Sales</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Purchase Order No. PO-UZ-TSK-2025-04782 — Firefighter Equipment Supply — Uzbekistan Tashkent</w:t>
      </w:r>
    </w:p>
    <w:p>
      <w:pPr>
        <w:pStyle w:val="BodyText"/>
      </w:pPr>
      <w:r>
        <w:t xml:space="preserve">This document is confidential and intended solely for the use of the parties named herein.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Uzbekistan Tashkent</dc:title>
  <dc:creator/>
  <dc:language>en</dc:language>
  <cp:keywords/>
  <dcterms:created xsi:type="dcterms:W3CDTF">2026-10-10T03:49:21Z</dcterms:created>
  <dcterms:modified xsi:type="dcterms:W3CDTF">2026-10-10T03:49:21Z</dcterms:modified>
</cp:coreProperties>
</file>

<file path=docProps/custom.xml><?xml version="1.0" encoding="utf-8"?>
<Properties xmlns="http://schemas.openxmlformats.org/officeDocument/2006/custom-properties" xmlns:vt="http://schemas.openxmlformats.org/officeDocument/2006/docPropsVTypes"/>
</file>