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accordance with the Commercial Code of the Argentine Nation</w:t>
      </w:r>
    </w:p>
    <w:bookmarkEnd w:id="20"/>
    <w:p>
      <w:pPr>
        <w:pStyle w:val="BodyText"/>
      </w:pPr>
      <w:r>
        <w:rPr>
          <w:bCs/>
          <w:b/>
        </w:rPr>
        <w:t xml:space="preserve">Purchase Order No.:</w:t>
      </w:r>
      <w:r>
        <w:t xml:space="preserve"> </w:t>
      </w:r>
      <w:r>
        <w:t xml:space="preserve">PO-2025-BA-0472</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Issuing Entity:</w:t>
      </w:r>
      <w:r>
        <w:t xml:space="preserve"> </w:t>
      </w:r>
      <w:r>
        <w:t xml:space="preserve">Meridian Digital Solutions S.A.</w:t>
      </w:r>
      <w:r>
        <w:br/>
      </w:r>
      <w:r>
        <w:rPr>
          <w:bCs/>
          <w:b/>
        </w:rPr>
        <w:t xml:space="preserve">Address:</w:t>
      </w:r>
      <w:r>
        <w:t xml:space="preserve"> </w:t>
      </w:r>
      <w:r>
        <w:t xml:space="preserve">Av. Corrientes 1250, Piso 8, C1043AAE</w:t>
      </w:r>
      <w:r>
        <w:br/>
      </w:r>
      <w:r>
        <w:rPr>
          <w:bCs/>
          <w:b/>
        </w:rPr>
        <w:t xml:space="preserve">Buenos Aires, Argentina</w:t>
      </w:r>
      <w:r>
        <w:br/>
      </w:r>
      <w:r>
        <w:rPr>
          <w:bCs/>
          <w:b/>
        </w:rPr>
        <w:t xml:space="preserve">CUIT:</w:t>
      </w:r>
      <w:r>
        <w:t xml:space="preserve"> </w:t>
      </w:r>
      <w:r>
        <w:t xml:space="preserve">30-71234567-8</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Luciana Fernández – Freelance</w:t>
            </w:r>
            <w:r>
              <w:t xml:space="preserve"> </w:t>
            </w:r>
            <w:r>
              <w:t xml:space="preserve">Graphic Designer</w:t>
            </w:r>
          </w:p>
        </w:tc>
      </w:tr>
      <w:tr>
        <w:tc>
          <w:tcPr/>
          <w:p>
            <w:pPr>
              <w:pStyle w:val="Compact"/>
              <w:jc w:val="left"/>
            </w:pPr>
            <w:r>
              <w:t xml:space="preserve">Professional Registration</w:t>
            </w:r>
          </w:p>
        </w:tc>
        <w:tc>
          <w:tcPr/>
          <w:p>
            <w:pPr>
              <w:pStyle w:val="Compact"/>
              <w:jc w:val="left"/>
            </w:pPr>
            <w:r>
              <w:t xml:space="preserve">Matrícula Profesional N° 45.892 – Colegio de Diseñadores Gráficos de la Ciudad de Buenos Aires</w:t>
            </w:r>
          </w:p>
        </w:tc>
      </w:tr>
      <w:tr>
        <w:tc>
          <w:tcPr/>
          <w:p>
            <w:pPr>
              <w:pStyle w:val="Compact"/>
              <w:jc w:val="left"/>
            </w:pPr>
            <w:r>
              <w:t xml:space="preserve">CUIT / CUIL</w:t>
            </w:r>
          </w:p>
        </w:tc>
        <w:tc>
          <w:tcPr/>
          <w:p>
            <w:pPr>
              <w:pStyle w:val="Compact"/>
              <w:jc w:val="left"/>
            </w:pPr>
            <w:r>
              <w:t xml:space="preserve">27-34567890-1</w:t>
            </w:r>
          </w:p>
        </w:tc>
      </w:tr>
      <w:tr>
        <w:tc>
          <w:tcPr/>
          <w:p>
            <w:pPr>
              <w:pStyle w:val="Compact"/>
              <w:jc w:val="left"/>
            </w:pPr>
            <w:r>
              <w:t xml:space="preserve">Business Address</w:t>
            </w:r>
          </w:p>
        </w:tc>
        <w:tc>
          <w:tcPr/>
          <w:p>
            <w:pPr>
              <w:pStyle w:val="Compact"/>
              <w:jc w:val="left"/>
            </w:pPr>
            <w:r>
              <w:t xml:space="preserve">Av. Santa Fe 2340, Piso 4, Dto. B, C1121AAE, Buenos Aires, Argentina</w:t>
            </w:r>
          </w:p>
        </w:tc>
      </w:tr>
      <w:tr>
        <w:tc>
          <w:tcPr/>
          <w:p>
            <w:pPr>
              <w:pStyle w:val="Compact"/>
              <w:jc w:val="left"/>
            </w:pPr>
            <w:r>
              <w:t xml:space="preserve">Contact Email</w:t>
            </w:r>
          </w:p>
        </w:tc>
        <w:tc>
          <w:tcPr/>
          <w:p>
            <w:pPr>
              <w:pStyle w:val="Compact"/>
              <w:jc w:val="left"/>
            </w:pPr>
            <w:r>
              <w:t xml:space="preserve">lfernandez.diseño@correo.com.ar</w:t>
            </w:r>
          </w:p>
        </w:tc>
      </w:tr>
      <w:tr>
        <w:tc>
          <w:tcPr/>
          <w:p>
            <w:pPr>
              <w:pStyle w:val="Compact"/>
              <w:jc w:val="left"/>
            </w:pPr>
            <w:r>
              <w:t xml:space="preserve">Phone</w:t>
            </w:r>
          </w:p>
        </w:tc>
        <w:tc>
          <w:tcPr/>
          <w:p>
            <w:pPr>
              <w:pStyle w:val="Compact"/>
              <w:jc w:val="left"/>
            </w:pPr>
            <w:r>
              <w:t xml:space="preserve">+54 11 4567-8901</w:t>
            </w:r>
          </w:p>
        </w:tc>
      </w:tr>
    </w:tbl>
    <w:bookmarkEnd w:id="21"/>
    <w:bookmarkStart w:id="22" w:name="X549c29a435a1327c1233422a2220ac6a3837573"/>
    <w:p>
      <w:pPr>
        <w:pStyle w:val="Heading2"/>
      </w:pPr>
      <w:r>
        <w:t xml:space="preserve">2. Scope of Services – Graphic Designer Engagement</w:t>
      </w:r>
    </w:p>
    <w:p>
      <w:pPr>
        <w:pStyle w:val="FirstParagraph"/>
      </w:pPr>
      <w:r>
        <w:t xml:space="preserve">This</w:t>
      </w:r>
      <w:r>
        <w:t xml:space="preserve"> </w:t>
      </w:r>
      <w:r>
        <w:t xml:space="preserve">Purchase Order</w:t>
      </w:r>
      <w:r>
        <w:t xml:space="preserve"> </w:t>
      </w:r>
      <w:r>
        <w:t xml:space="preserve">is issued by Meridian Digital Solutions S.A., a company duly incorporated and operating under the commercial laws of the Argentine Republic, to formally engage the services of a qualified</w:t>
      </w:r>
      <w:r>
        <w:t xml:space="preserve"> </w:t>
      </w:r>
      <w:r>
        <w:t xml:space="preserve">Graphic Designer</w:t>
      </w:r>
      <w:r>
        <w:t xml:space="preserve"> </w:t>
      </w:r>
      <w:r>
        <w:t xml:space="preserve">for the execution of a comprehensive brand identity and visual communication project. The</w:t>
      </w:r>
      <w:r>
        <w:t xml:space="preserve"> </w:t>
      </w:r>
      <w:r>
        <w:t xml:space="preserve">Graphic Designer</w:t>
      </w:r>
      <w:r>
        <w:t xml:space="preserve"> </w:t>
      </w:r>
      <w:r>
        <w:t xml:space="preserve">shall deliver all professional creative work in accordance with the specifications outlined herein, adhering to the industry standards recognized by the Argentine design community and the regulatory framework governing professional services in</w:t>
      </w:r>
      <w:r>
        <w:t xml:space="preserve"> </w:t>
      </w:r>
      <w:r>
        <w:t xml:space="preserve">Argentina Buenos Aires</w:t>
      </w:r>
      <w:r>
        <w:t xml:space="preserve">.</w:t>
      </w:r>
    </w:p>
    <w:p>
      <w:pPr>
        <w:pStyle w:val="BodyText"/>
      </w:pPr>
      <w:r>
        <w:t xml:space="preserve">The engagement of this</w:t>
      </w:r>
      <w:r>
        <w:t xml:space="preserve"> </w:t>
      </w:r>
      <w:r>
        <w:t xml:space="preserve">Graphic Designer</w:t>
      </w:r>
      <w:r>
        <w:t xml:space="preserve"> </w:t>
      </w:r>
      <w:r>
        <w:t xml:space="preserve">is specifically tailored to the cultural, commercial, and regulatory context of</w:t>
      </w:r>
      <w:r>
        <w:t xml:space="preserve"> </w:t>
      </w:r>
      <w:r>
        <w:t xml:space="preserve">Argentina Buenos Aires</w:t>
      </w:r>
      <w:r>
        <w:t xml:space="preserve">, ensuring that all visual deliverables reflect the local market expectations, comply with the Argentine Consumer Protection Law (Ley 24.240), and meet the aesthetic standards prevalent in the metropolitan area of Buenos Aires. The</w:t>
      </w:r>
      <w:r>
        <w:t xml:space="preserve"> </w:t>
      </w:r>
      <w:r>
        <w:t xml:space="preserve">Graphic Designer</w:t>
      </w:r>
      <w:r>
        <w:t xml:space="preserve"> </w:t>
      </w:r>
      <w:r>
        <w:t xml:space="preserve">is expected to demonstrate familiarity with the bilingual (Spanish/English) communication requirements common to businesses operating in</w:t>
      </w:r>
      <w:r>
        <w:t xml:space="preserve"> </w:t>
      </w:r>
      <w:r>
        <w:t xml:space="preserve">Argentina Buenos Aires</w:t>
      </w:r>
      <w:r>
        <w:t xml:space="preserv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Complete brand identity design (logo, color palette, typography system) –</w:t>
            </w:r>
            <w:r>
              <w:t xml:space="preserve"> </w:t>
            </w:r>
            <w:r>
              <w:t xml:space="preserve">Graphic Designer</w:t>
            </w:r>
            <w:r>
              <w:t xml:space="preserve"> </w:t>
            </w:r>
            <w:r>
              <w:t xml:space="preserve">deliverables in vector and raster formats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Corporate stationery suite design (business cards, letterhead, envelopes, invoice templates) –</w:t>
            </w:r>
            <w:r>
              <w:t xml:space="preserve"> </w:t>
            </w:r>
            <w:r>
              <w:t xml:space="preserve">Graphic Designer</w:t>
            </w:r>
            <w:r>
              <w:t xml:space="preserve"> </w:t>
            </w:r>
            <w:r>
              <w:t xml:space="preserve">print-ready files</w:t>
            </w:r>
          </w:p>
        </w:tc>
        <w:tc>
          <w:tcPr/>
          <w:p>
            <w:pPr>
              <w:pStyle w:val="Compact"/>
              <w:jc w:val="left"/>
            </w:pPr>
            <w:r>
              <w:t xml:space="preserve">1</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03</w:t>
            </w:r>
          </w:p>
        </w:tc>
        <w:tc>
          <w:tcPr/>
          <w:p>
            <w:pPr>
              <w:pStyle w:val="Compact"/>
              <w:jc w:val="left"/>
            </w:pPr>
            <w:r>
              <w:t xml:space="preserve">Digital marketing collateral (social media templates, email headers, web banners) –</w:t>
            </w:r>
            <w:r>
              <w:t xml:space="preserve"> </w:t>
            </w:r>
            <w:r>
              <w:t xml:space="preserve">Graphic Designer</w:t>
            </w:r>
            <w:r>
              <w:t xml:space="preserve"> </w:t>
            </w:r>
            <w:r>
              <w:t xml:space="preserve">responsive designs</w:t>
            </w:r>
          </w:p>
        </w:tc>
        <w:tc>
          <w:tcPr/>
          <w:p>
            <w:pPr>
              <w:pStyle w:val="Compact"/>
              <w:jc w:val="left"/>
            </w:pPr>
            <w:r>
              <w:t xml:space="preserve">1</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04</w:t>
            </w:r>
          </w:p>
        </w:tc>
        <w:tc>
          <w:tcPr/>
          <w:p>
            <w:pPr>
              <w:pStyle w:val="Compact"/>
              <w:jc w:val="left"/>
            </w:pPr>
            <w:r>
              <w:t xml:space="preserve">Product packaging design for 3 SKU lines –</w:t>
            </w:r>
            <w:r>
              <w:t xml:space="preserve"> </w:t>
            </w:r>
            <w:r>
              <w:t xml:space="preserve">Graphic Designer</w:t>
            </w:r>
            <w:r>
              <w:t xml:space="preserve"> </w:t>
            </w:r>
            <w:r>
              <w:t xml:space="preserve">dielines and 3D mockups</w:t>
            </w:r>
          </w:p>
        </w:tc>
        <w:tc>
          <w:tcPr/>
          <w:p>
            <w:pPr>
              <w:pStyle w:val="Compact"/>
              <w:jc w:val="left"/>
            </w:pPr>
            <w:r>
              <w:t xml:space="preserve">3</w:t>
            </w:r>
          </w:p>
        </w:tc>
        <w:tc>
          <w:tcPr/>
          <w:p>
            <w:pPr>
              <w:pStyle w:val="Compact"/>
              <w:jc w:val="left"/>
            </w:pPr>
            <w:r>
              <w:t xml:space="preserve">75,000.00</w:t>
            </w:r>
          </w:p>
        </w:tc>
        <w:tc>
          <w:tcPr/>
          <w:p>
            <w:pPr>
              <w:pStyle w:val="Compact"/>
              <w:jc w:val="left"/>
            </w:pPr>
            <w:r>
              <w:t xml:space="preserve">225,000.00</w:t>
            </w:r>
          </w:p>
        </w:tc>
      </w:tr>
      <w:tr>
        <w:tc>
          <w:tcPr/>
          <w:p>
            <w:pPr>
              <w:pStyle w:val="Compact"/>
              <w:jc w:val="left"/>
            </w:pPr>
            <w:r>
              <w:t xml:space="preserve">05</w:t>
            </w:r>
          </w:p>
        </w:tc>
        <w:tc>
          <w:tcPr/>
          <w:p>
            <w:pPr>
              <w:pStyle w:val="Compact"/>
              <w:jc w:val="left"/>
            </w:pPr>
            <w:r>
              <w:t xml:space="preserve">Brand guidelines document (40+ pages) –</w:t>
            </w:r>
            <w:r>
              <w:t xml:space="preserve"> </w:t>
            </w:r>
            <w:r>
              <w:t xml:space="preserve">Graphic Designer</w:t>
            </w:r>
            <w:r>
              <w:t xml:space="preserve"> </w:t>
            </w:r>
            <w:r>
              <w:t xml:space="preserve">authored usage manual in Spanish and English</w:t>
            </w:r>
          </w:p>
        </w:tc>
        <w:tc>
          <w:tcPr/>
          <w:p>
            <w:pPr>
              <w:pStyle w:val="Compact"/>
              <w:jc w:val="left"/>
            </w:pPr>
            <w:r>
              <w:t xml:space="preserve">1</w:t>
            </w:r>
          </w:p>
        </w:tc>
        <w:tc>
          <w:tcPr/>
          <w:p>
            <w:pPr>
              <w:pStyle w:val="Compact"/>
              <w:jc w:val="left"/>
            </w:pPr>
            <w:r>
              <w:t xml:space="preserve">110,000.00</w:t>
            </w:r>
          </w:p>
        </w:tc>
        <w:tc>
          <w:tcPr/>
          <w:p>
            <w:pPr>
              <w:pStyle w:val="Compact"/>
              <w:jc w:val="left"/>
            </w:pPr>
            <w:r>
              <w:t xml:space="preserve">110,000.00</w:t>
            </w:r>
          </w:p>
        </w:tc>
      </w:tr>
      <w:tr>
        <w:tc>
          <w:tcPr/>
          <w:p>
            <w:pPr>
              <w:pStyle w:val="Compact"/>
              <w:jc w:val="left"/>
            </w:pPr>
            <w:r>
              <w:t xml:space="preserve">06</w:t>
            </w:r>
          </w:p>
        </w:tc>
        <w:tc>
          <w:tcPr/>
          <w:p>
            <w:pPr>
              <w:pStyle w:val="Compact"/>
              <w:jc w:val="left"/>
            </w:pPr>
            <w:r>
              <w:t xml:space="preserve">Revisions and final file delivery (up to 3 revision cycles per item) –</w:t>
            </w:r>
            <w:r>
              <w:t xml:space="preserve"> </w:t>
            </w:r>
            <w:r>
              <w:t xml:space="preserve">Graphic Designer</w:t>
            </w:r>
            <w:r>
              <w:t xml:space="preserve"> </w:t>
            </w:r>
            <w:r>
              <w:t xml:space="preserve">post-delivery support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gridSpan w:val="4"/>
          </w:tcPr>
          <w:p>
            <w:pPr>
              <w:pStyle w:val="Compact"/>
              <w:jc w:val="right"/>
            </w:pPr>
            <w:r>
              <w:t xml:space="preserve">Subtotal (ARS)</w:t>
            </w:r>
          </w:p>
        </w:tc>
        <w:tc>
          <w:tcPr/>
          <w:p>
            <w:pPr>
              <w:pStyle w:val="Compact"/>
              <w:jc w:val="left"/>
            </w:pPr>
            <w:r>
              <w:t xml:space="preserve">785,500.00</w:t>
            </w:r>
          </w:p>
        </w:tc>
      </w:tr>
      <w:tr>
        <w:tc>
          <w:tcPr>
            <w:gridSpan w:val="4"/>
          </w:tcPr>
          <w:p>
            <w:pPr>
              <w:pStyle w:val="Compact"/>
              <w:jc w:val="right"/>
            </w:pPr>
            <w:r>
              <w:t xml:space="preserve">IVA (21% – Argentine Value Added Tax)</w:t>
            </w:r>
          </w:p>
        </w:tc>
        <w:tc>
          <w:tcPr/>
          <w:p>
            <w:pPr>
              <w:pStyle w:val="Compact"/>
              <w:jc w:val="left"/>
            </w:pPr>
            <w:r>
              <w:t xml:space="preserve">164,955.00</w:t>
            </w:r>
          </w:p>
        </w:tc>
      </w:tr>
      <w:tr>
        <w:tc>
          <w:tcPr>
            <w:gridSpan w:val="4"/>
          </w:tcPr>
          <w:p>
            <w:pPr>
              <w:pStyle w:val="Compact"/>
              <w:jc w:val="right"/>
            </w:pPr>
            <w:r>
              <w:t xml:space="preserve">TOTAL AMOUNT DUE (ARS)</w:t>
            </w:r>
          </w:p>
        </w:tc>
        <w:tc>
          <w:tcPr/>
          <w:p>
            <w:pPr>
              <w:pStyle w:val="Compact"/>
              <w:jc w:val="left"/>
            </w:pPr>
            <w:r>
              <w:t xml:space="preserve">950,455.00</w:t>
            </w:r>
          </w:p>
        </w:tc>
      </w:tr>
    </w:tbl>
    <w:bookmarkEnd w:id="23"/>
    <w:bookmarkStart w:id="24" w:name="payment-terms-and-conditions"/>
    <w:p>
      <w:pPr>
        <w:pStyle w:val="Heading2"/>
      </w:pPr>
      <w:r>
        <w:t xml:space="preserve">4. Payment Terms and Conditions</w:t>
      </w:r>
    </w:p>
    <w:p>
      <w:pPr>
        <w:pStyle w:val="FirstParagraph"/>
      </w:pPr>
      <w:r>
        <w:t xml:space="preserve">Payment for this</w:t>
      </w:r>
      <w:r>
        <w:t xml:space="preserve"> </w:t>
      </w:r>
      <w:r>
        <w:t xml:space="preserve">Purchase Order</w:t>
      </w:r>
      <w:r>
        <w:t xml:space="preserve"> </w:t>
      </w:r>
      <w:r>
        <w:t xml:space="preserve">shall be made in three (3) installments via bank transfer to the account designated by the</w:t>
      </w:r>
      <w:r>
        <w:t xml:space="preserve"> </w:t>
      </w:r>
      <w:r>
        <w:t xml:space="preserve">Graphic Designer</w:t>
      </w:r>
      <w:r>
        <w:t xml:space="preserve">, in accordance with the banking regulations of the Banco Central de la República Argentina:</w:t>
      </w:r>
    </w:p>
    <w:p>
      <w:pPr>
        <w:pStyle w:val="BodyText"/>
      </w:pPr>
      <w:r>
        <w:rPr>
          <w:bCs/>
          <w:b/>
        </w:rPr>
        <w:t xml:space="preserve">Installment 1 (40%):</w:t>
      </w:r>
      <w:r>
        <w:t xml:space="preserve"> </w:t>
      </w:r>
      <w:r>
        <w:t xml:space="preserve">ARS 380,182.00 – Due upon signed acceptance of this</w:t>
      </w:r>
      <w:r>
        <w:t xml:space="preserve"> </w:t>
      </w:r>
      <w:r>
        <w:t xml:space="preserve">Purchase Order</w:t>
      </w:r>
      <w:r>
        <w:t xml:space="preserve"> </w:t>
      </w:r>
      <w:r>
        <w:t xml:space="preserve">and commencement of the project.</w:t>
      </w:r>
      <w:r>
        <w:br/>
      </w:r>
      <w:r>
        <w:rPr>
          <w:bCs/>
          <w:b/>
        </w:rPr>
        <w:t xml:space="preserve">Installment 2 (35%):</w:t>
      </w:r>
      <w:r>
        <w:t xml:space="preserve"> </w:t>
      </w:r>
      <w:r>
        <w:t xml:space="preserve">ARS 332,659.25 – Due upon delivery and approval of all intermediate design milestones.</w:t>
      </w:r>
      <w:r>
        <w:br/>
      </w:r>
      <w:r>
        <w:rPr>
          <w:bCs/>
          <w:b/>
        </w:rPr>
        <w:t xml:space="preserve">Installment 3 (25%):</w:t>
      </w:r>
      <w:r>
        <w:t xml:space="preserve"> </w:t>
      </w:r>
      <w:r>
        <w:t xml:space="preserve">ARS 237,613.75 – Due upon final delivery, acceptance of all deliverables, and issuance of the corresponding factura (invoice) by the</w:t>
      </w:r>
      <w:r>
        <w:t xml:space="preserve"> </w:t>
      </w:r>
      <w:r>
        <w:t xml:space="preserve">Graphic Designer</w:t>
      </w:r>
      <w:r>
        <w:t xml:space="preserve">.</w:t>
      </w:r>
    </w:p>
    <w:p>
      <w:pPr>
        <w:pStyle w:val="BodyText"/>
      </w:pPr>
      <w:r>
        <w:t xml:space="preserve">All payments are subject to the withholding obligations established by the Argentine Federal Administration of Public Revenue (AFIP). The</w:t>
      </w:r>
      <w:r>
        <w:t xml:space="preserve"> </w:t>
      </w:r>
      <w:r>
        <w:t xml:space="preserve">Graphic Designer</w:t>
      </w:r>
      <w:r>
        <w:t xml:space="preserve"> </w:t>
      </w:r>
      <w:r>
        <w:t xml:space="preserve">shall issue a factura electrónica (electronic invoice) compliant with the AFIP system for each installment received. Late payments shall accrue interest at the rate established by the Banco Central de la República Argentina for the applicable period.</w:t>
      </w:r>
    </w:p>
    <w:bookmarkEnd w:id="24"/>
    <w:bookmarkStart w:id="25" w:name="Xd2e18179f1174ef0b8d42fb000d4f18172b80cd"/>
    <w:p>
      <w:pPr>
        <w:pStyle w:val="Heading2"/>
      </w:pPr>
      <w:r>
        <w:t xml:space="preserve">5. Delivery Schedule and Acceptance Criteria</w:t>
      </w:r>
    </w:p>
    <w:p>
      <w:pPr>
        <w:pStyle w:val="FirstParagraph"/>
      </w:pPr>
      <w:r>
        <w:t xml:space="preserve">The</w:t>
      </w:r>
      <w:r>
        <w:t xml:space="preserve"> </w:t>
      </w:r>
      <w:r>
        <w:t xml:space="preserve">Graphic Designer</w:t>
      </w:r>
      <w:r>
        <w:t xml:space="preserve"> </w:t>
      </w:r>
      <w:r>
        <w:t xml:space="preserve">shall deliver all work products in accordance with the following schedule, commencing on the date of mutual signature of this</w:t>
      </w:r>
      <w:r>
        <w:t xml:space="preserve"> </w:t>
      </w:r>
      <w:r>
        <w:t xml:space="preserve">Purchase Order</w:t>
      </w:r>
      <w:r>
        <w:t xml:space="preserve">:</w:t>
      </w:r>
    </w:p>
    <w:p>
      <w:pPr>
        <w:pStyle w:val="BodyText"/>
      </w:pPr>
      <w:r>
        <w:rPr>
          <w:bCs/>
          <w:b/>
        </w:rPr>
        <w:t xml:space="preserve">Week 1–2:</w:t>
      </w:r>
      <w:r>
        <w:t xml:space="preserve"> </w:t>
      </w:r>
      <w:r>
        <w:t xml:space="preserve">Brand identity concepts (3 initial proposals) for client review.</w:t>
      </w:r>
      <w:r>
        <w:br/>
      </w:r>
      <w:r>
        <w:rPr>
          <w:bCs/>
          <w:b/>
        </w:rPr>
        <w:t xml:space="preserve">Week 3–4:</w:t>
      </w:r>
      <w:r>
        <w:t xml:space="preserve"> </w:t>
      </w:r>
      <w:r>
        <w:t xml:space="preserve">Refined brand identity and stationery suite.</w:t>
      </w:r>
      <w:r>
        <w:br/>
      </w:r>
      <w:r>
        <w:rPr>
          <w:bCs/>
          <w:b/>
        </w:rPr>
        <w:t xml:space="preserve">Week 5–6:</w:t>
      </w:r>
      <w:r>
        <w:t xml:space="preserve"> </w:t>
      </w:r>
      <w:r>
        <w:t xml:space="preserve">Digital marketing collateral and product packaging designs.</w:t>
      </w:r>
      <w:r>
        <w:br/>
      </w:r>
      <w:r>
        <w:rPr>
          <w:bCs/>
          <w:b/>
        </w:rPr>
        <w:t xml:space="preserve">Week 7:</w:t>
      </w:r>
      <w:r>
        <w:t xml:space="preserve"> </w:t>
      </w:r>
      <w:r>
        <w:t xml:space="preserve">Brand guidelines document and final file delivery.</w:t>
      </w:r>
      <w:r>
        <w:br/>
      </w:r>
      <w:r>
        <w:rPr>
          <w:bCs/>
          <w:b/>
        </w:rPr>
        <w:t xml:space="preserve">Week 8:</w:t>
      </w:r>
      <w:r>
        <w:t xml:space="preserve"> </w:t>
      </w:r>
      <w:r>
        <w:t xml:space="preserve">Revision cycle and final acceptance.</w:t>
      </w:r>
    </w:p>
    <w:p>
      <w:pPr>
        <w:pStyle w:val="BodyText"/>
      </w:pPr>
      <w:r>
        <w:t xml:space="preserve">All deliverables shall be provided in industry-standard formats (AI, EPS, PDF, PNG, JPG, SVG) with embedded fonts or font licensing documentation. The</w:t>
      </w:r>
      <w:r>
        <w:t xml:space="preserve"> </w:t>
      </w:r>
      <w:r>
        <w:t xml:space="preserve">Graphic Designer</w:t>
      </w:r>
      <w:r>
        <w:t xml:space="preserve"> </w:t>
      </w:r>
      <w:r>
        <w:t xml:space="preserve">warrants that all work is original, free of third-party intellectual property claims, and complies with the Argentine Intellectual Property Law (Ley 11.723). Upon full payment, all intellectual property rights to the final deliverables shall transfer to Meridian Digital Solutions S.A.</w:t>
      </w:r>
    </w:p>
    <w:bookmarkEnd w:id="25"/>
    <w:bookmarkStart w:id="26" w:name="X31a3336a145e5522fade4b1aaae07d82f7dc70c"/>
    <w:p>
      <w:pPr>
        <w:pStyle w:val="Heading2"/>
      </w:pPr>
      <w:r>
        <w:t xml:space="preserve">6. Legal and Regulatory Compliance – Argentina Buenos Aires</w:t>
      </w:r>
    </w:p>
    <w:p>
      <w:pPr>
        <w:pStyle w:val="FirstParagraph"/>
      </w:pPr>
      <w:r>
        <w:t xml:space="preserve">This</w:t>
      </w:r>
      <w:r>
        <w:t xml:space="preserve"> </w:t>
      </w:r>
      <w:r>
        <w:t xml:space="preserve">Purchase Order</w:t>
      </w:r>
      <w:r>
        <w:t xml:space="preserve"> </w:t>
      </w:r>
      <w:r>
        <w:t xml:space="preserve">is governed by and shall be interpreted in accordance with the Civil and Commercial Code of the Argentine Nation (Código Civil y Comercial de la Nación, Ley 26.994) and the applicable commercial regulations of the City of Buenos Aires. Any disputes arising from this</w:t>
      </w:r>
      <w:r>
        <w:t xml:space="preserve"> </w:t>
      </w:r>
      <w:r>
        <w:t xml:space="preserve">Purchase Order</w:t>
      </w:r>
      <w:r>
        <w:t xml:space="preserve"> </w:t>
      </w:r>
      <w:r>
        <w:t xml:space="preserve">shall be subject to the exclusive jurisdiction of the commercial courts of the City of Buenos Aires,</w:t>
      </w:r>
      <w:r>
        <w:t xml:space="preserve"> </w:t>
      </w:r>
      <w:r>
        <w:t xml:space="preserve">Argentina</w:t>
      </w:r>
      <w:r>
        <w:t xml:space="preserve">. The</w:t>
      </w:r>
      <w:r>
        <w:t xml:space="preserve"> </w:t>
      </w:r>
      <w:r>
        <w:t xml:space="preserve">Graphic Designer</w:t>
      </w:r>
      <w:r>
        <w:t xml:space="preserve"> </w:t>
      </w:r>
      <w:r>
        <w:t xml:space="preserve">confirms that they are a duly registered professional in</w:t>
      </w:r>
      <w:r>
        <w:t xml:space="preserve"> </w:t>
      </w:r>
      <w:r>
        <w:t xml:space="preserve">Argentina Buenos Aires</w:t>
      </w:r>
      <w:r>
        <w:t xml:space="preserve"> </w:t>
      </w:r>
      <w:r>
        <w:t xml:space="preserve">and that all services rendered shall comply with the professional conduct standards established by the relevant professional college.</w:t>
      </w:r>
    </w:p>
    <w:p>
      <w:pPr>
        <w:pStyle w:val="BodyText"/>
      </w:pPr>
      <w:r>
        <w:t xml:space="preserve">Both parties acknowledge that this</w:t>
      </w:r>
      <w:r>
        <w:t xml:space="preserve"> </w:t>
      </w:r>
      <w:r>
        <w:t xml:space="preserve">Purchase Order</w:t>
      </w:r>
      <w:r>
        <w:t xml:space="preserve"> </w:t>
      </w:r>
      <w:r>
        <w:t xml:space="preserve">constitutes a binding commercial agreement. The</w:t>
      </w:r>
      <w:r>
        <w:t xml:space="preserve"> </w:t>
      </w:r>
      <w:r>
        <w:t xml:space="preserve">Graphic Designer</w:t>
      </w:r>
      <w:r>
        <w:t xml:space="preserve"> </w:t>
      </w:r>
      <w:r>
        <w:t xml:space="preserve">shall maintain professional liability insurance (seguro de responsabilidad civil profesional) with a minimum coverage of ARS 5,000,000 for the duration of the engagement. All personal data processed in connection with this</w:t>
      </w:r>
      <w:r>
        <w:t xml:space="preserve"> </w:t>
      </w:r>
      <w:r>
        <w:t xml:space="preserve">Purchase Order</w:t>
      </w:r>
      <w:r>
        <w:t xml:space="preserve"> </w:t>
      </w:r>
      <w:r>
        <w:t xml:space="preserve">shall be handled in compliance with the Argentine Personal Data Protection Law (Ley 25.326).</w:t>
      </w:r>
    </w:p>
    <w:bookmarkEnd w:id="26"/>
    <w:bookmarkStart w:id="27" w:name="cancellation-and-termination"/>
    <w:p>
      <w:pPr>
        <w:pStyle w:val="Heading2"/>
      </w:pPr>
      <w:r>
        <w:t xml:space="preserve">7. Cancellation and Termination</w:t>
      </w:r>
    </w:p>
    <w:p>
      <w:pPr>
        <w:pStyle w:val="FirstParagraph"/>
      </w:pPr>
      <w:r>
        <w:t xml:space="preserve">Either party may terminate this</w:t>
      </w:r>
      <w:r>
        <w:t xml:space="preserve"> </w:t>
      </w:r>
      <w:r>
        <w:t xml:space="preserve">Purchase Order</w:t>
      </w:r>
      <w:r>
        <w:t xml:space="preserve"> </w:t>
      </w:r>
      <w:r>
        <w:t xml:space="preserve">with a written notice of fifteen (15) calendar days. In the event of cancellation by Meridian Digital Solutions S.A., the</w:t>
      </w:r>
      <w:r>
        <w:t xml:space="preserve"> </w:t>
      </w:r>
      <w:r>
        <w:t xml:space="preserve">Graphic Designer</w:t>
      </w:r>
      <w:r>
        <w:t xml:space="preserve"> </w:t>
      </w:r>
      <w:r>
        <w:t xml:space="preserve">shall be compensated for all work completed and accepted up to the date of termination. In the event of cancellation by the</w:t>
      </w:r>
      <w:r>
        <w:t xml:space="preserve"> </w:t>
      </w:r>
      <w:r>
        <w:t xml:space="preserve">Graphic Designer</w:t>
      </w:r>
      <w:r>
        <w:t xml:space="preserve"> </w:t>
      </w:r>
      <w:r>
        <w:t xml:space="preserve">without justified cause, a penalty of 10% of the total contract value shall be applied. All rights and obligations accrued prior to termination shall survive.</w:t>
      </w:r>
    </w:p>
    <w:bookmarkEnd w:id="27"/>
    <w:p>
      <w:pPr>
        <w:pStyle w:val="BodyText"/>
      </w:pPr>
      <w:r>
        <w:rPr>
          <w:bCs/>
          <w:b/>
        </w:rPr>
        <w:t xml:space="preserve">For Meridian Digital Solutions S.A. (Buyer)</w:t>
      </w:r>
    </w:p>
    <w:p>
      <w:pPr>
        <w:pStyle w:val="BodyText"/>
      </w:pPr>
      <w:r>
        <w:rPr>
          <w:bCs/>
          <w:b/>
        </w:rPr>
        <w:t xml:space="preserve">Carlos Alberto Méndez</w:t>
      </w:r>
      <w:r>
        <w:br/>
      </w:r>
      <w:r>
        <w:t xml:space="preserve">Director de Compras y Abastecimiento</w:t>
      </w:r>
      <w:r>
        <w:br/>
      </w:r>
      <w:r>
        <w:t xml:space="preserve">Date: _______________</w:t>
      </w:r>
    </w:p>
    <w:p>
      <w:pPr>
        <w:pStyle w:val="BodyText"/>
      </w:pPr>
      <w:r>
        <w:rPr>
          <w:bCs/>
          <w:b/>
        </w:rPr>
        <w:t xml:space="preserve">For Luciana Fernández – Graphic Designer (Vendor)</w:t>
      </w:r>
    </w:p>
    <w:p>
      <w:pPr>
        <w:pStyle w:val="BodyText"/>
      </w:pPr>
      <w:r>
        <w:rPr>
          <w:bCs/>
          <w:b/>
        </w:rPr>
        <w:t xml:space="preserve">Luciana Fernández</w:t>
      </w:r>
      <w:r>
        <w:br/>
      </w:r>
      <w:r>
        <w:t xml:space="preserve">Diseñadora Gráfica – Matrícula N° 45.892</w:t>
      </w:r>
      <w:r>
        <w:br/>
      </w:r>
      <w:r>
        <w:t xml:space="preserve">Date: _______________</w:t>
      </w:r>
    </w:p>
    <w:p>
      <w:pPr>
        <w:pStyle w:val="BodyText"/>
      </w:pPr>
      <w:r>
        <w:t xml:space="preserve">This</w:t>
      </w:r>
      <w:r>
        <w:t xml:space="preserve"> </w:t>
      </w:r>
      <w:r>
        <w:t xml:space="preserve">Purchase Order</w:t>
      </w:r>
      <w:r>
        <w:t xml:space="preserve"> </w:t>
      </w:r>
      <w:r>
        <w:t xml:space="preserve">(PO-2025-BA-0472) was issued in the City of Buenos Aires,</w:t>
      </w:r>
      <w:r>
        <w:t xml:space="preserve"> </w:t>
      </w:r>
      <w:r>
        <w:t xml:space="preserve">Argentina</w:t>
      </w:r>
      <w:r>
        <w:t xml:space="preserve">, and constitutes a formal procurement document for professional</w:t>
      </w:r>
      <w:r>
        <w:t xml:space="preserve"> </w:t>
      </w:r>
      <w:r>
        <w:t xml:space="preserve">Graphic Designer</w:t>
      </w:r>
      <w:r>
        <w:t xml:space="preserve"> </w:t>
      </w:r>
      <w:r>
        <w:t xml:space="preserve">services. This document is valid only when signed by both parties. Uncontrolled when printed. For questions regarding this</w:t>
      </w:r>
      <w:r>
        <w:t xml:space="preserve"> </w:t>
      </w:r>
      <w:r>
        <w:t xml:space="preserve">Purchase Order</w:t>
      </w:r>
      <w:r>
        <w:t xml:space="preserve">, contact the Procurement Department at compras@meridiandigital.com.ar.</w:t>
      </w:r>
    </w:p>
    <w:p>
      <w:pPr>
        <w:pStyle w:val="BodyText"/>
      </w:pPr>
      <w:r>
        <w:t xml:space="preserve">Document Reference: PO-2025-BA-0472 | Jurisdiction: City of Buenos Aires, Argentina | Currency: Argentine Peso (ARS)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Argentina Buenos Aires</dc:title>
  <dc:creator/>
  <dc:language>en</dc:language>
  <cp:keywords/>
  <dcterms:created xsi:type="dcterms:W3CDTF">2026-10-10T08:39:47Z</dcterms:created>
  <dcterms:modified xsi:type="dcterms:W3CDTF">2026-10-10T08:39:47Z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