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Procurement of Professional Graphic Designer Services — Japan Kyoto Operations Division</w:t>
      </w:r>
    </w:p>
    <w:p>
      <w:pPr>
        <w:pStyle w:val="BodyText"/>
      </w:pPr>
      <w:r>
        <w:t xml:space="preserve">PO No. JPKY-2025-00472</w:t>
      </w:r>
    </w:p>
    <w:bookmarkEnd w:id="20"/>
    <w:bookmarkStart w:id="21" w:name="issuing-company-buyer"/>
    <w:p>
      <w:pPr>
        <w:pStyle w:val="Heading3"/>
      </w:pPr>
      <w:r>
        <w:t xml:space="preserve">Issuing Company (Buyer)</w:t>
      </w:r>
    </w:p>
    <w:p>
      <w:pPr>
        <w:pStyle w:val="FirstParagraph"/>
      </w:pPr>
      <w:r>
        <w:rPr>
          <w:bCs/>
          <w:b/>
        </w:rPr>
        <w:t xml:space="preserve">Kyoto Creative Industries Co., Ltd.</w:t>
      </w:r>
    </w:p>
    <w:p>
      <w:pPr>
        <w:pStyle w:val="BodyText"/>
      </w:pPr>
      <w:r>
        <w:t xml:space="preserve">42-15 Gionmachi, Higashiyama-ku</w:t>
      </w:r>
    </w:p>
    <w:p>
      <w:pPr>
        <w:pStyle w:val="BodyText"/>
      </w:pPr>
      <w:r>
        <w:t xml:space="preserve">Kyoto 605-0073, Japan</w:t>
      </w:r>
    </w:p>
    <w:p>
      <w:pPr>
        <w:pStyle w:val="BodyText"/>
      </w:pPr>
      <w:r>
        <w:t xml:space="preserve">Tel: +81-75-555-0142</w:t>
      </w:r>
    </w:p>
    <w:p>
      <w:pPr>
        <w:pStyle w:val="BodyText"/>
      </w:pPr>
      <w:r>
        <w:t xml:space="preserve">Email: procurement@kyotocreative.jp</w:t>
      </w:r>
    </w:p>
    <w:bookmarkEnd w:id="21"/>
    <w:bookmarkStart w:id="22" w:name="vendor-service-provider"/>
    <w:p>
      <w:pPr>
        <w:pStyle w:val="Heading3"/>
      </w:pPr>
      <w:r>
        <w:t xml:space="preserve">Vendor / Service Provider</w:t>
      </w:r>
    </w:p>
    <w:p>
      <w:pPr>
        <w:pStyle w:val="FirstParagraph"/>
      </w:pPr>
      <w:r>
        <w:rPr>
          <w:bCs/>
          <w:b/>
        </w:rPr>
        <w:t xml:space="preserve">Tanaka Design Studio</w:t>
      </w:r>
    </w:p>
    <w:p>
      <w:pPr>
        <w:pStyle w:val="BodyText"/>
      </w:pPr>
      <w:r>
        <w:t xml:space="preserve">18-3 Kiyomizu-cho, Higashiyama-ku</w:t>
      </w:r>
    </w:p>
    <w:p>
      <w:pPr>
        <w:pStyle w:val="BodyText"/>
      </w:pPr>
      <w:r>
        <w:t xml:space="preserve">Kyoto 605-0862, Japan</w:t>
      </w:r>
    </w:p>
    <w:p>
      <w:pPr>
        <w:pStyle w:val="BodyText"/>
      </w:pPr>
      <w:r>
        <w:t xml:space="preserve">Tel: +81-75-555-0387</w:t>
      </w:r>
    </w:p>
    <w:p>
      <w:pPr>
        <w:pStyle w:val="BodyText"/>
      </w:pPr>
      <w:r>
        <w:t xml:space="preserve">Email: contact@tanakadesign.jp</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14 June 2025</w:t>
      </w:r>
    </w:p>
    <w:p>
      <w:pPr>
        <w:pStyle w:val="BodyText"/>
      </w:pPr>
      <w:r>
        <w:rPr>
          <w:bCs/>
          <w:b/>
        </w:rPr>
        <w:t xml:space="preserve">Required By:</w:t>
      </w:r>
      <w:r>
        <w:t xml:space="preserve"> </w:t>
      </w:r>
      <w:r>
        <w:t xml:space="preserve">15 August 2025</w:t>
      </w:r>
    </w:p>
    <w:p>
      <w:pPr>
        <w:pStyle w:val="BodyText"/>
      </w:pPr>
      <w:r>
        <w:rPr>
          <w:bCs/>
          <w:b/>
        </w:rPr>
        <w:t xml:space="preserve">Project Code:</w:t>
      </w:r>
      <w:r>
        <w:t xml:space="preserve"> </w:t>
      </w:r>
      <w:r>
        <w:t xml:space="preserve">KYO-GRD-2025-Q3</w:t>
      </w:r>
    </w:p>
    <w:p>
      <w:pPr>
        <w:pStyle w:val="BodyText"/>
      </w:pPr>
      <w:r>
        <w:rPr>
          <w:bCs/>
          <w:b/>
        </w:rPr>
        <w:t xml:space="preserve">Department:</w:t>
      </w:r>
      <w:r>
        <w:t xml:space="preserve"> </w:t>
      </w:r>
      <w:r>
        <w:t xml:space="preserve">Brand &amp; Visual Identity</w:t>
      </w:r>
    </w:p>
    <w:bookmarkEnd w:id="23"/>
    <w:bookmarkStart w:id="24" w:name="X522c530ec89ed4bbd4ab784bd5772523ec40b02"/>
    <w:p>
      <w:pPr>
        <w:pStyle w:val="Heading2"/>
      </w:pPr>
      <w:r>
        <w:t xml:space="preserve">1. Scope of Work — Graphic Designer Engagement</w:t>
      </w:r>
    </w:p>
    <w:p>
      <w:pPr>
        <w:pStyle w:val="FirstParagraph"/>
      </w:pPr>
      <w:r>
        <w:t xml:space="preserve">This Purchase Order is issued by Kyoto Creative Industries Co., Ltd. to formally engage the services of a qualified</w:t>
      </w:r>
      <w:r>
        <w:t xml:space="preserve"> </w:t>
      </w:r>
      <w:r>
        <w:rPr>
          <w:bCs/>
          <w:b/>
        </w:rPr>
        <w:t xml:space="preserve">Graphic Designer</w:t>
      </w:r>
      <w:r>
        <w:t xml:space="preserve"> </w:t>
      </w:r>
      <w:r>
        <w:t xml:space="preserve">for the duration of the project period specified herein. The Graphic Designer shall be responsible for the complete visual identity overhaul, marketing collateral production, and digital asset creation for the Japan Kyoto regional brand campaign. All deliverables must reflect the cultural aesthetics and design sensibilities appropriate to the Japan Kyoto market while maintaining alignment with the company's global brand standards.</w:t>
      </w:r>
    </w:p>
    <w:bookmarkEnd w:id="24"/>
    <w:bookmarkStart w:id="25" w:name="line-items-service-breakdown"/>
    <w:p>
      <w:pPr>
        <w:pStyle w:val="Heading2"/>
      </w:pPr>
      <w:r>
        <w:t xml:space="preserve">2. Line Items &amp;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Brand identity redesign — logo development, color palette, typography system for Japan Kyoto market adaptation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Print collateral design — brochures, business cards, packaging mockups (minimum 12 pieces)</w:t>
            </w:r>
          </w:p>
        </w:tc>
        <w:tc>
          <w:tcPr/>
          <w:p>
            <w:pPr>
              <w:pStyle w:val="Compact"/>
              <w:jc w:val="left"/>
            </w:pPr>
            <w:r>
              <w:t xml:space="preserve">12</w:t>
            </w:r>
          </w:p>
        </w:tc>
        <w:tc>
          <w:tcPr/>
          <w:p>
            <w:pPr>
              <w:pStyle w:val="Compact"/>
              <w:jc w:val="left"/>
            </w:pPr>
            <w:r>
              <w:t xml:space="preserve">Piece</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Digital asset creation — social media templates, website banners, email marketing graphics</w:t>
            </w:r>
          </w:p>
        </w:tc>
        <w:tc>
          <w:tcPr/>
          <w:p>
            <w:pPr>
              <w:pStyle w:val="Compact"/>
              <w:jc w:val="left"/>
            </w:pPr>
            <w:r>
              <w:t xml:space="preserve">24</w:t>
            </w:r>
          </w:p>
        </w:tc>
        <w:tc>
          <w:tcPr/>
          <w:p>
            <w:pPr>
              <w:pStyle w:val="Compact"/>
              <w:jc w:val="left"/>
            </w:pPr>
            <w:r>
              <w:t xml:space="preserve">Asset</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04</w:t>
            </w:r>
          </w:p>
        </w:tc>
        <w:tc>
          <w:tcPr/>
          <w:p>
            <w:pPr>
              <w:pStyle w:val="Compact"/>
              <w:jc w:val="left"/>
            </w:pPr>
            <w:r>
              <w:t xml:space="preserve">Illustration &amp; iconography set — culturally themed icon library for Japan Kyoto tourism partnership</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Revisions &amp; final file delivery (up to 3 revision rounds per deliverable)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On-site consultation &amp; presentation at Japan Kyoto headquarters (2 sessions)</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90,000</w:t>
            </w:r>
          </w:p>
        </w:tc>
      </w:tr>
      <w:tr>
        <w:tc>
          <w:tcPr>
            <w:gridSpan w:val="5"/>
          </w:tcPr>
          <w:p>
            <w:pPr>
              <w:pStyle w:val="Compact"/>
              <w:jc w:val="right"/>
            </w:pPr>
            <w:r>
              <w:t xml:space="preserve">TOTAL AMOUNT (JPY)</w:t>
            </w:r>
          </w:p>
        </w:tc>
        <w:tc>
          <w:tcPr/>
          <w:p>
            <w:pPr>
              <w:pStyle w:val="Compact"/>
              <w:jc w:val="left"/>
            </w:pPr>
            <w:r>
              <w:t xml:space="preserve">1,892,000</w:t>
            </w:r>
          </w:p>
        </w:tc>
      </w:tr>
      <w:tr>
        <w:tc>
          <w:tcPr>
            <w:gridSpan w:val="5"/>
          </w:tcPr>
          <w:p>
            <w:pPr>
              <w:pStyle w:val="Compact"/>
              <w:jc w:val="right"/>
            </w:pPr>
            <w:r>
              <w:t xml:space="preserve">Consumption Tax (10%)</w:t>
            </w:r>
          </w:p>
        </w:tc>
        <w:tc>
          <w:tcPr/>
          <w:p>
            <w:pPr>
              <w:pStyle w:val="Compact"/>
              <w:jc w:val="left"/>
            </w:pPr>
            <w:r>
              <w:t xml:space="preserve">189,200</w:t>
            </w:r>
          </w:p>
        </w:tc>
      </w:tr>
      <w:tr>
        <w:tc>
          <w:tcPr>
            <w:gridSpan w:val="5"/>
          </w:tcPr>
          <w:p>
            <w:pPr>
              <w:pStyle w:val="Compact"/>
              <w:jc w:val="right"/>
            </w:pPr>
            <w:r>
              <w:t xml:space="preserve">GRAND TOTAL (JPY)</w:t>
            </w:r>
          </w:p>
        </w:tc>
        <w:tc>
          <w:tcPr/>
          <w:p>
            <w:pPr>
              <w:pStyle w:val="Compact"/>
              <w:jc w:val="left"/>
            </w:pPr>
            <w:r>
              <w:t xml:space="preserve">2,081,200</w:t>
            </w:r>
          </w:p>
        </w:tc>
      </w:tr>
    </w:tbl>
    <w:bookmarkEnd w:id="25"/>
    <w:bookmarkStart w:id="26" w:name="terms-conditions"/>
    <w:p>
      <w:pPr>
        <w:pStyle w:val="Heading2"/>
      </w:pPr>
      <w:r>
        <w:t xml:space="preserve">3. Terms &amp; Conditions</w:t>
      </w:r>
    </w:p>
    <w:p>
      <w:pPr>
        <w:numPr>
          <w:ilvl w:val="0"/>
          <w:numId w:val="1001"/>
        </w:numPr>
        <w:pStyle w:val="Compact"/>
      </w:pPr>
      <w:r>
        <w:rPr>
          <w:bCs/>
          <w:b/>
        </w:rPr>
        <w:t xml:space="preserve">Acceptance:</w:t>
      </w:r>
      <w:r>
        <w:t xml:space="preserve"> </w:t>
      </w:r>
      <w:r>
        <w:t xml:space="preserve">This Purchase Order becomes binding upon written acceptance by the Graphic Designer or their authorized representative within five (5) business days of the issue date. Failure to respond within this period shall be considered a declination of this Purchase Order.</w:t>
      </w:r>
    </w:p>
    <w:p>
      <w:pPr>
        <w:numPr>
          <w:ilvl w:val="0"/>
          <w:numId w:val="1001"/>
        </w:numPr>
        <w:pStyle w:val="Compact"/>
      </w:pPr>
      <w:r>
        <w:rPr>
          <w:bCs/>
          <w:b/>
        </w:rPr>
        <w:t xml:space="preserve">Payment Terms:</w:t>
      </w:r>
      <w:r>
        <w:t xml:space="preserve"> </w:t>
      </w:r>
      <w:r>
        <w:t xml:space="preserve">Payment shall be made in three installments: 40% upon contract execution, 40% upon delivery of all primary deliverables, and 20% upon final acceptance and sign-off by the Japan Kyoto Brand Committee. All payments shall be processed via bank transfer to the account designated by the Graphic Designer.</w:t>
      </w:r>
    </w:p>
    <w:p>
      <w:pPr>
        <w:numPr>
          <w:ilvl w:val="0"/>
          <w:numId w:val="1001"/>
        </w:numPr>
        <w:pStyle w:val="Compact"/>
      </w:pPr>
      <w:r>
        <w:rPr>
          <w:bCs/>
          <w:b/>
        </w:rPr>
        <w:t xml:space="preserve">Intellectual Property:</w:t>
      </w:r>
      <w:r>
        <w:t xml:space="preserve"> </w:t>
      </w:r>
      <w:r>
        <w:t xml:space="preserve">Upon full payment, all rights, titles, and interests in the Graphic Designer's work product, including but not limited to logos, illustrations, digital assets, and source files, shall be transferred irrevocably to Kyoto Creative Industries Co., Ltd. The Graphic Designer retains the right to display the work in a professional portfolio.</w:t>
      </w:r>
    </w:p>
    <w:p>
      <w:pPr>
        <w:numPr>
          <w:ilvl w:val="0"/>
          <w:numId w:val="1001"/>
        </w:numPr>
        <w:pStyle w:val="Compact"/>
      </w:pPr>
      <w:r>
        <w:rPr>
          <w:bCs/>
          <w:b/>
        </w:rPr>
        <w:t xml:space="preserve">Timeline:</w:t>
      </w:r>
      <w:r>
        <w:t xml:space="preserve"> </w:t>
      </w:r>
      <w:r>
        <w:t xml:space="preserve">The Graphic Designer shall adhere to the milestone schedule attached as Appendix A. Any delay exceeding ten (10) business days without written justification may result in a penalty of 2% of the total Purchase Order value per week of delay.</w:t>
      </w:r>
    </w:p>
    <w:p>
      <w:pPr>
        <w:numPr>
          <w:ilvl w:val="0"/>
          <w:numId w:val="1001"/>
        </w:numPr>
        <w:pStyle w:val="Compact"/>
      </w:pPr>
      <w:r>
        <w:rPr>
          <w:bCs/>
          <w:b/>
        </w:rPr>
        <w:t xml:space="preserve">Quality Standards:</w:t>
      </w:r>
      <w:r>
        <w:t xml:space="preserve"> </w:t>
      </w:r>
      <w:r>
        <w:t xml:space="preserve">All deliverables must meet the resolution, format, and brand compliance standards specified in the Japan Kyoto Brand Guidelines (Version 4.2, 2025). The Graphic Designer is expected to deliver files in AI, PSD, PDF, PNG, and SVG formats as applicable.</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unreleased product details, and strategic plans disclosed during the course of this engagement in Japan Kyoto.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Kyoto, Japan, in accordance with the rules of the Japan Commercial Arbitration Association.</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other events beyond reasonable control, particularly those affecting operations in the Japan Kyoto region.</w:t>
      </w:r>
    </w:p>
    <w:bookmarkEnd w:id="26"/>
    <w:bookmarkStart w:id="27" w:name="acceptance-signatures"/>
    <w:p>
      <w:pPr>
        <w:pStyle w:val="Heading2"/>
      </w:pPr>
      <w:r>
        <w:t xml:space="preserve">4. Acceptance &amp; Signatures</w:t>
      </w:r>
    </w:p>
    <w:p>
      <w:pPr>
        <w:pStyle w:val="FirstParagraph"/>
      </w:pPr>
      <w:r>
        <w:t xml:space="preserve">By signing below, both parties acknowledge and agree to all terms, conditions, and specifications outlined in this Purchase Order for the engagement of the Graphic Designer in support of the Japan Kyoto brand initiative.</w:t>
      </w:r>
    </w:p>
    <w:p>
      <w:pPr>
        <w:pStyle w:val="BodyText"/>
      </w:pPr>
      <w:r>
        <w:rPr>
          <w:bCs/>
          <w:b/>
        </w:rPr>
        <w:t xml:space="preserve">For Kyoto Creative Industries Co., Ltd. (Buyer)</w:t>
      </w:r>
    </w:p>
    <w:p>
      <w:pPr>
        <w:pStyle w:val="BodyText"/>
      </w:pPr>
      <w:r>
        <w:t xml:space="preserve">Name: Haruki Sato</w:t>
      </w:r>
    </w:p>
    <w:p>
      <w:pPr>
        <w:pStyle w:val="BodyText"/>
      </w:pPr>
      <w:r>
        <w:t xml:space="preserve">Title: Head of Procurement, Japan Kyoto Division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Tanaka Design Studio (Graphic Designer / Vendor)</w:t>
      </w:r>
    </w:p>
    <w:p>
      <w:pPr>
        <w:pStyle w:val="BodyText"/>
      </w:pPr>
      <w:r>
        <w:t xml:space="preserve">Name: Yuki Tanaka</w:t>
      </w:r>
    </w:p>
    <w:p>
      <w:pPr>
        <w:pStyle w:val="BodyText"/>
      </w:pPr>
      <w:r>
        <w:t xml:space="preserve">Title: Lead Graphic Designer &amp; Studio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is valid for 30 days from the date of issue. Please reference PO No. JPKY-2025-00472 in all correspondence. For questions regarding this Purchase Order, contact the Japan Kyoto Procurement Office at procurement@kyotocreative.jp.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Japan Kyoto</dc:title>
  <dc:creator/>
  <dc:language>en</dc:language>
  <cp:keywords/>
  <dcterms:created xsi:type="dcterms:W3CDTF">2026-10-10T10:21:17Z</dcterms:created>
  <dcterms:modified xsi:type="dcterms:W3CDTF">2026-10-10T10:21:17Z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