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rPr>
          <w:bCs/>
          <w:b/>
        </w:rPr>
        <w:t xml:space="preserve">Salón &amp; Barbería "El Peinado Porteño"</w:t>
      </w:r>
    </w:p>
    <w:p>
      <w:pPr>
        <w:pStyle w:val="BodyText"/>
      </w:pPr>
      <w:r>
        <w:t xml:space="preserve">Av. Corrientes 4521, Piso 3, CABA – Buenos Aires, Argentina</w:t>
      </w:r>
    </w:p>
    <w:p>
      <w:pPr>
        <w:pStyle w:val="BodyText"/>
      </w:pPr>
      <w:r>
        <w:t xml:space="preserve">CUIT: 30-71234567-8 | Tel: +54 11 4321-5678 | Email: compras@elpeinadoporteno.com.ar</w:t>
      </w:r>
    </w:p>
    <w:p>
      <w:pPr>
        <w:pStyle w:val="BodyText"/>
      </w:pPr>
      <w:r>
        <w:rPr>
          <w:bCs/>
          <w:b/>
        </w:rPr>
        <w:t xml:space="preserve">PO Number:</w:t>
      </w:r>
      <w:r>
        <w:t xml:space="preserve"> </w:t>
      </w:r>
      <w:r>
        <w:t xml:space="preserve">PO-BA-2025-00487  | </w:t>
      </w:r>
      <w:r>
        <w:t xml:space="preserve"> </w:t>
      </w:r>
      <w:r>
        <w:rPr>
          <w:bCs/>
          <w:b/>
        </w:rPr>
        <w:t xml:space="preserve">Date of Issue:</w:t>
      </w:r>
      <w:r>
        <w:t xml:space="preserve"> </w:t>
      </w:r>
      <w:r>
        <w:t xml:space="preserve">15 June 2025  | </w:t>
      </w:r>
      <w:r>
        <w:t xml:space="preserve"> </w:t>
      </w:r>
      <w:r>
        <w:rPr>
          <w:bCs/>
          <w:b/>
        </w:rPr>
        <w:t xml:space="preserve">Valid Until:</w:t>
      </w:r>
      <w:r>
        <w:t xml:space="preserve"> </w:t>
      </w:r>
      <w:r>
        <w:t xml:space="preserve">15 July 2025</w:t>
      </w:r>
    </w:p>
    <w:bookmarkEnd w:id="20"/>
    <w:bookmarkStart w:id="21" w:name="supplier-vendor"/>
    <w:p>
      <w:pPr>
        <w:pStyle w:val="Heading3"/>
      </w:pPr>
      <w:r>
        <w:t xml:space="preserve">Supplier / Vendor</w:t>
      </w:r>
    </w:p>
    <w:p>
      <w:pPr>
        <w:pStyle w:val="FirstParagraph"/>
      </w:pPr>
      <w:r>
        <w:rPr>
          <w:bCs/>
          <w:b/>
        </w:rPr>
        <w:t xml:space="preserve">Company:</w:t>
      </w:r>
      <w:r>
        <w:t xml:space="preserve"> </w:t>
      </w:r>
      <w:r>
        <w:t xml:space="preserve">Distribuidora Capilar del Sur S.A.</w:t>
      </w:r>
    </w:p>
    <w:p>
      <w:pPr>
        <w:pStyle w:val="BodyText"/>
      </w:pPr>
      <w:r>
        <w:rPr>
          <w:bCs/>
          <w:b/>
        </w:rPr>
        <w:t xml:space="preserve">Address:</w:t>
      </w:r>
      <w:r>
        <w:t xml:space="preserve"> </w:t>
      </w:r>
      <w:r>
        <w:t xml:space="preserve">Av. Rivadavia 8900, C1121AAH, Buenos Aires, Argentina</w:t>
      </w:r>
    </w:p>
    <w:p>
      <w:pPr>
        <w:pStyle w:val="BodyText"/>
      </w:pPr>
      <w:r>
        <w:rPr>
          <w:bCs/>
          <w:b/>
        </w:rPr>
        <w:t xml:space="preserve">CUIT:</w:t>
      </w:r>
      <w:r>
        <w:t xml:space="preserve"> </w:t>
      </w:r>
      <w:r>
        <w:t xml:space="preserve">30-69876543-2</w:t>
      </w:r>
    </w:p>
    <w:p>
      <w:pPr>
        <w:pStyle w:val="BodyText"/>
      </w:pPr>
      <w:r>
        <w:rPr>
          <w:bCs/>
          <w:b/>
        </w:rPr>
        <w:t xml:space="preserve">Contact:</w:t>
      </w:r>
      <w:r>
        <w:t xml:space="preserve"> </w:t>
      </w:r>
      <w:r>
        <w:t xml:space="preserve">Sr. Martín González – compras@capilardelsur.com.ar</w:t>
      </w:r>
    </w:p>
    <w:p>
      <w:pPr>
        <w:pStyle w:val="BodyText"/>
      </w:pPr>
      <w:r>
        <w:rPr>
          <w:bCs/>
          <w:b/>
        </w:rPr>
        <w:t xml:space="preserve">Phone:</w:t>
      </w:r>
      <w:r>
        <w:t xml:space="preserve"> </w:t>
      </w:r>
      <w:r>
        <w:t xml:space="preserve">+54 11 5555-1234</w:t>
      </w:r>
    </w:p>
    <w:bookmarkEnd w:id="21"/>
    <w:bookmarkStart w:id="22" w:name="delivery-details"/>
    <w:p>
      <w:pPr>
        <w:pStyle w:val="Heading3"/>
      </w:pPr>
      <w:r>
        <w:t xml:space="preserve">Delivery Details</w:t>
      </w:r>
    </w:p>
    <w:p>
      <w:pPr>
        <w:pStyle w:val="FirstParagraph"/>
      </w:pPr>
      <w:r>
        <w:rPr>
          <w:bCs/>
          <w:b/>
        </w:rPr>
        <w:t xml:space="preserve">Ship To:</w:t>
      </w:r>
      <w:r>
        <w:t xml:space="preserve"> </w:t>
      </w:r>
      <w:r>
        <w:t xml:space="preserve">Salón "El Peinado Porteño"</w:t>
      </w:r>
    </w:p>
    <w:p>
      <w:pPr>
        <w:pStyle w:val="BodyText"/>
      </w:pPr>
      <w:r>
        <w:rPr>
          <w:bCs/>
          <w:b/>
        </w:rPr>
        <w:t xml:space="preserve">Address:</w:t>
      </w:r>
      <w:r>
        <w:t xml:space="preserve"> </w:t>
      </w:r>
      <w:r>
        <w:t xml:space="preserve">Av. Corrientes 4521, Piso 3, C1043AAE, Buenos Aires, Argentina</w:t>
      </w:r>
    </w:p>
    <w:p>
      <w:pPr>
        <w:pStyle w:val="BodyText"/>
      </w:pPr>
      <w:r>
        <w:rPr>
          <w:bCs/>
          <w:b/>
        </w:rPr>
        <w:t xml:space="preserve">Delivery Window:</w:t>
      </w:r>
      <w:r>
        <w:t xml:space="preserve"> </w:t>
      </w:r>
      <w:r>
        <w:t xml:space="preserve">22–26 June 2025</w:t>
      </w:r>
    </w:p>
    <w:p>
      <w:pPr>
        <w:pStyle w:val="BodyText"/>
      </w:pPr>
      <w:r>
        <w:rPr>
          <w:bCs/>
          <w:b/>
        </w:rPr>
        <w:t xml:space="preserve">Delivery Hours:</w:t>
      </w:r>
      <w:r>
        <w:t xml:space="preserve"> </w:t>
      </w:r>
      <w:r>
        <w:t xml:space="preserve">08:00 – 18:00 (Mon–Fri)</w:t>
      </w:r>
    </w:p>
    <w:p>
      <w:pPr>
        <w:pStyle w:val="BodyText"/>
      </w:pPr>
      <w:r>
        <w:rPr>
          <w:bCs/>
          <w:b/>
        </w:rPr>
        <w:t xml:space="preserve">Reference:</w:t>
      </w:r>
      <w:r>
        <w:t xml:space="preserve"> </w:t>
      </w:r>
      <w:r>
        <w:t xml:space="preserve">Hairdresser equipment renewal – Q3 2025</w:t>
      </w:r>
    </w:p>
    <w:bookmarkEnd w:id="22"/>
    <w:bookmarkStart w:id="23" w:name="X692dce03dc523c288b044ab64232b4f258b15da"/>
    <w:p>
      <w:pPr>
        <w:pStyle w:val="Heading2"/>
      </w:pPr>
      <w:r>
        <w:t xml:space="preserve">Line Items – Hairdresser Professional Supplies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Professional hairdryer, 2400W, ionic technology, ergonomic handle – for hairdresser workstation</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Ceramic flat iron, 185°C max, 1-inch plates, auto shut-off – hairdresser styling tool</w:t>
            </w:r>
          </w:p>
        </w:tc>
        <w:tc>
          <w:tcPr/>
          <w:p>
            <w:pPr>
              <w:pStyle w:val="Compact"/>
              <w:jc w:val="left"/>
            </w:pPr>
            <w:r>
              <w:t xml:space="preserve">Equipment</w:t>
            </w:r>
          </w:p>
        </w:tc>
        <w:tc>
          <w:tcPr/>
          <w:p>
            <w:pPr>
              <w:pStyle w:val="Compact"/>
              <w:jc w:val="left"/>
            </w:pPr>
            <w:r>
              <w:t xml:space="preserve">4</w:t>
            </w:r>
          </w:p>
        </w:tc>
        <w:tc>
          <w:tcPr/>
          <w:p>
            <w:pPr>
              <w:pStyle w:val="Compact"/>
              <w:jc w:val="left"/>
            </w:pPr>
            <w:r>
              <w:t xml:space="preserve">62,500.00</w:t>
            </w:r>
          </w:p>
        </w:tc>
        <w:tc>
          <w:tcPr/>
          <w:p>
            <w:pPr>
              <w:pStyle w:val="Compact"/>
              <w:jc w:val="left"/>
            </w:pPr>
            <w:r>
              <w:t xml:space="preserve">250,000.00</w:t>
            </w:r>
          </w:p>
        </w:tc>
      </w:tr>
      <w:tr>
        <w:tc>
          <w:tcPr/>
          <w:p>
            <w:pPr>
              <w:pStyle w:val="Compact"/>
              <w:jc w:val="left"/>
            </w:pPr>
            <w:r>
              <w:t xml:space="preserve">03</w:t>
            </w:r>
          </w:p>
        </w:tc>
        <w:tc>
          <w:tcPr/>
          <w:p>
            <w:pPr>
              <w:pStyle w:val="Compact"/>
              <w:jc w:val="left"/>
            </w:pPr>
            <w:r>
              <w:t xml:space="preserve">Professional cutting shears, 6.5-inch, Japanese steel, ergonomic – hairdresser precision scissors</w:t>
            </w:r>
          </w:p>
        </w:tc>
        <w:tc>
          <w:tcPr/>
          <w:p>
            <w:pPr>
              <w:pStyle w:val="Compact"/>
              <w:jc w:val="left"/>
            </w:pPr>
            <w:r>
              <w:t xml:space="preserve">Tools</w:t>
            </w:r>
          </w:p>
        </w:tc>
        <w:tc>
          <w:tcPr/>
          <w:p>
            <w:pPr>
              <w:pStyle w:val="Compact"/>
              <w:jc w:val="left"/>
            </w:pPr>
            <w:r>
              <w:t xml:space="preserve">8</w:t>
            </w:r>
          </w:p>
        </w:tc>
        <w:tc>
          <w:tcPr/>
          <w:p>
            <w:pPr>
              <w:pStyle w:val="Compact"/>
              <w:jc w:val="left"/>
            </w:pPr>
            <w:r>
              <w:t xml:space="preserve">48,000.00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Thinning shears, 7-inch, 40-tooth, titanium-coated – hairdresser texturizing tool</w:t>
            </w:r>
          </w:p>
        </w:tc>
        <w:tc>
          <w:tcPr/>
          <w:p>
            <w:pPr>
              <w:pStyle w:val="Compact"/>
              <w:jc w:val="left"/>
            </w:pPr>
            <w:r>
              <w:t xml:space="preserve">Tools</w:t>
            </w:r>
          </w:p>
        </w:tc>
        <w:tc>
          <w:tcPr/>
          <w:p>
            <w:pPr>
              <w:pStyle w:val="Compact"/>
              <w:jc w:val="left"/>
            </w:pPr>
            <w:r>
              <w:t xml:space="preserve">4</w:t>
            </w:r>
          </w:p>
        </w:tc>
        <w:tc>
          <w:tcPr/>
          <w:p>
            <w:pPr>
              <w:pStyle w:val="Compact"/>
              <w:jc w:val="left"/>
            </w:pPr>
            <w:r>
              <w:t xml:space="preserve">39,500.00</w:t>
            </w:r>
          </w:p>
        </w:tc>
        <w:tc>
          <w:tcPr/>
          <w:p>
            <w:pPr>
              <w:pStyle w:val="Compact"/>
              <w:jc w:val="left"/>
            </w:pPr>
            <w:r>
              <w:t xml:space="preserve">158,000.00</w:t>
            </w:r>
          </w:p>
        </w:tc>
      </w:tr>
      <w:tr>
        <w:tc>
          <w:tcPr/>
          <w:p>
            <w:pPr>
              <w:pStyle w:val="Compact"/>
              <w:jc w:val="left"/>
            </w:pPr>
            <w:r>
              <w:t xml:space="preserve">05</w:t>
            </w:r>
          </w:p>
        </w:tc>
        <w:tc>
          <w:tcPr/>
          <w:p>
            <w:pPr>
              <w:pStyle w:val="Compact"/>
              <w:jc w:val="left"/>
            </w:pPr>
            <w:r>
              <w:t xml:space="preserve">Ammonia-free permanent hair color, full range (12 shades), 100ml – hairdresser coloring line</w:t>
            </w:r>
          </w:p>
        </w:tc>
        <w:tc>
          <w:tcPr/>
          <w:p>
            <w:pPr>
              <w:pStyle w:val="Compact"/>
              <w:jc w:val="left"/>
            </w:pPr>
            <w:r>
              <w:t xml:space="preserve">Consumables</w:t>
            </w:r>
          </w:p>
        </w:tc>
        <w:tc>
          <w:tcPr/>
          <w:p>
            <w:pPr>
              <w:pStyle w:val="Compact"/>
              <w:jc w:val="left"/>
            </w:pPr>
            <w:r>
              <w:t xml:space="preserve">48</w:t>
            </w:r>
          </w:p>
        </w:tc>
        <w:tc>
          <w:tcPr/>
          <w:p>
            <w:pPr>
              <w:pStyle w:val="Compact"/>
              <w:jc w:val="left"/>
            </w:pPr>
            <w:r>
              <w:t xml:space="preserve">12,800.00</w:t>
            </w:r>
          </w:p>
        </w:tc>
        <w:tc>
          <w:tcPr/>
          <w:p>
            <w:pPr>
              <w:pStyle w:val="Compact"/>
              <w:jc w:val="left"/>
            </w:pPr>
            <w:r>
              <w:t xml:space="preserve">614,400.00</w:t>
            </w:r>
          </w:p>
        </w:tc>
      </w:tr>
      <w:tr>
        <w:tc>
          <w:tcPr/>
          <w:p>
            <w:pPr>
              <w:pStyle w:val="Compact"/>
              <w:jc w:val="left"/>
            </w:pPr>
            <w:r>
              <w:t xml:space="preserve">06</w:t>
            </w:r>
          </w:p>
        </w:tc>
        <w:tc>
          <w:tcPr/>
          <w:p>
            <w:pPr>
              <w:pStyle w:val="Compact"/>
              <w:jc w:val="left"/>
            </w:pPr>
            <w:r>
              <w:t xml:space="preserve">Professional developer cream, 20 vol, 1000ml – hairdresser color mixing agent</w:t>
            </w:r>
          </w:p>
        </w:tc>
        <w:tc>
          <w:tcPr/>
          <w:p>
            <w:pPr>
              <w:pStyle w:val="Compact"/>
              <w:jc w:val="left"/>
            </w:pPr>
            <w:r>
              <w:t xml:space="preserve">Consumables</w:t>
            </w:r>
          </w:p>
        </w:tc>
        <w:tc>
          <w:tcPr/>
          <w:p>
            <w:pPr>
              <w:pStyle w:val="Compact"/>
              <w:jc w:val="left"/>
            </w:pPr>
            <w:r>
              <w:t xml:space="preserve">24</w:t>
            </w:r>
          </w:p>
        </w:tc>
        <w:tc>
          <w:tcPr/>
          <w:p>
            <w:pPr>
              <w:pStyle w:val="Compact"/>
              <w:jc w:val="left"/>
            </w:pPr>
            <w:r>
              <w:t xml:space="preserve">9,200.00</w:t>
            </w:r>
          </w:p>
        </w:tc>
        <w:tc>
          <w:tcPr/>
          <w:p>
            <w:pPr>
              <w:pStyle w:val="Compact"/>
              <w:jc w:val="left"/>
            </w:pPr>
            <w:r>
              <w:t xml:space="preserve">220,800.00</w:t>
            </w:r>
          </w:p>
        </w:tc>
      </w:tr>
      <w:tr>
        <w:tc>
          <w:tcPr/>
          <w:p>
            <w:pPr>
              <w:pStyle w:val="Compact"/>
              <w:jc w:val="left"/>
            </w:pPr>
            <w:r>
              <w:t xml:space="preserve">07</w:t>
            </w:r>
          </w:p>
        </w:tc>
        <w:tc>
          <w:tcPr/>
          <w:p>
            <w:pPr>
              <w:pStyle w:val="Compact"/>
              <w:jc w:val="left"/>
            </w:pPr>
            <w:r>
              <w:t xml:space="preserve">Hydrating keratin treatment, 500ml, sulfate-free – hairdresser salon service product</w:t>
            </w:r>
          </w:p>
        </w:tc>
        <w:tc>
          <w:tcPr/>
          <w:p>
            <w:pPr>
              <w:pStyle w:val="Compact"/>
              <w:jc w:val="left"/>
            </w:pPr>
            <w:r>
              <w:t xml:space="preserve">Consumables</w:t>
            </w:r>
          </w:p>
        </w:tc>
        <w:tc>
          <w:tcPr/>
          <w:p>
            <w:pPr>
              <w:pStyle w:val="Compact"/>
              <w:jc w:val="left"/>
            </w:pPr>
            <w:r>
              <w:t xml:space="preserve">12</w:t>
            </w:r>
          </w:p>
        </w:tc>
        <w:tc>
          <w:tcPr/>
          <w:p>
            <w:pPr>
              <w:pStyle w:val="Compact"/>
              <w:jc w:val="left"/>
            </w:pPr>
            <w:r>
              <w:t xml:space="preserve">34,000.00</w:t>
            </w:r>
          </w:p>
        </w:tc>
        <w:tc>
          <w:tcPr/>
          <w:p>
            <w:pPr>
              <w:pStyle w:val="Compact"/>
              <w:jc w:val="left"/>
            </w:pPr>
            <w:r>
              <w:t xml:space="preserve">408,000.00</w:t>
            </w:r>
          </w:p>
        </w:tc>
      </w:tr>
      <w:tr>
        <w:tc>
          <w:tcPr/>
          <w:p>
            <w:pPr>
              <w:pStyle w:val="Compact"/>
              <w:jc w:val="left"/>
            </w:pPr>
            <w:r>
              <w:t xml:space="preserve">08</w:t>
            </w:r>
          </w:p>
        </w:tc>
        <w:tc>
          <w:tcPr/>
          <w:p>
            <w:pPr>
              <w:pStyle w:val="Compact"/>
              <w:jc w:val="left"/>
            </w:pPr>
            <w:r>
              <w:t xml:space="preserve">Hydraulic hairdresser chair, adjustable, chrome base, black leather – Buenos Aires salon standard</w:t>
            </w:r>
          </w:p>
        </w:tc>
        <w:tc>
          <w:tcPr/>
          <w:p>
            <w:pPr>
              <w:pStyle w:val="Compact"/>
              <w:jc w:val="left"/>
            </w:pPr>
            <w:r>
              <w:t xml:space="preserve">Furniture</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09</w:t>
            </w:r>
          </w:p>
        </w:tc>
        <w:tc>
          <w:tcPr/>
          <w:p>
            <w:pPr>
              <w:pStyle w:val="Compact"/>
              <w:jc w:val="left"/>
            </w:pPr>
            <w:r>
              <w:t xml:space="preserve">Stainless steel wash basin with neck rest, wall-mounted – hairdresser shampoo station</w:t>
            </w:r>
          </w:p>
        </w:tc>
        <w:tc>
          <w:tcPr/>
          <w:p>
            <w:pPr>
              <w:pStyle w:val="Compact"/>
              <w:jc w:val="left"/>
            </w:pPr>
            <w:r>
              <w:t xml:space="preserve">Furniture</w:t>
            </w:r>
          </w:p>
        </w:tc>
        <w:tc>
          <w:tcPr/>
          <w:p>
            <w:pPr>
              <w:pStyle w:val="Compact"/>
              <w:jc w:val="left"/>
            </w:pPr>
            <w:r>
              <w:t xml:space="preserve">2</w:t>
            </w:r>
          </w:p>
        </w:tc>
        <w:tc>
          <w:tcPr/>
          <w:p>
            <w:pPr>
              <w:pStyle w:val="Compact"/>
              <w:jc w:val="left"/>
            </w:pPr>
            <w:r>
              <w:t xml:space="preserve">96,000.00</w:t>
            </w:r>
          </w:p>
        </w:tc>
        <w:tc>
          <w:tcPr/>
          <w:p>
            <w:pPr>
              <w:pStyle w:val="Compact"/>
              <w:jc w:val="left"/>
            </w:pPr>
            <w:r>
              <w:t xml:space="preserve">192,000.00</w:t>
            </w:r>
          </w:p>
        </w:tc>
      </w:tr>
      <w:tr>
        <w:tc>
          <w:tcPr/>
          <w:p>
            <w:pPr>
              <w:pStyle w:val="Compact"/>
              <w:jc w:val="left"/>
            </w:pPr>
            <w:r>
              <w:t xml:space="preserve">10</w:t>
            </w:r>
          </w:p>
        </w:tc>
        <w:tc>
          <w:tcPr/>
          <w:p>
            <w:pPr>
              <w:pStyle w:val="Compact"/>
              <w:jc w:val="left"/>
            </w:pPr>
            <w:r>
              <w:t xml:space="preserve">Disposable hairdresser capes, waterproof, 100-pack – Buenos Aires salon hygiene standard</w:t>
            </w:r>
          </w:p>
        </w:tc>
        <w:tc>
          <w:tcPr/>
          <w:p>
            <w:pPr>
              <w:pStyle w:val="Compact"/>
              <w:jc w:val="left"/>
            </w:pPr>
            <w:r>
              <w:t xml:space="preserve">Consumables</w:t>
            </w:r>
          </w:p>
        </w:tc>
        <w:tc>
          <w:tcPr/>
          <w:p>
            <w:pPr>
              <w:pStyle w:val="Compact"/>
              <w:jc w:val="left"/>
            </w:pPr>
            <w:r>
              <w:t xml:space="preserve">10</w:t>
            </w:r>
          </w:p>
        </w:tc>
        <w:tc>
          <w:tcPr/>
          <w:p>
            <w:pPr>
              <w:pStyle w:val="Compact"/>
              <w:jc w:val="left"/>
            </w:pPr>
            <w:r>
              <w:t xml:space="preserve">7,500.00</w:t>
            </w:r>
          </w:p>
        </w:tc>
        <w:tc>
          <w:tcPr/>
          <w:p>
            <w:pPr>
              <w:pStyle w:val="Compact"/>
              <w:jc w:val="left"/>
            </w:pPr>
            <w:r>
              <w:t xml:space="preserve">75,000.00</w:t>
            </w:r>
          </w:p>
        </w:tc>
      </w:tr>
      <w:tr>
        <w:tc>
          <w:tcPr/>
          <w:p>
            <w:pPr>
              <w:pStyle w:val="Compact"/>
              <w:jc w:val="left"/>
            </w:pPr>
            <w:r>
              <w:t xml:space="preserve">11</w:t>
            </w:r>
          </w:p>
        </w:tc>
        <w:tc>
          <w:tcPr/>
          <w:p>
            <w:pPr>
              <w:pStyle w:val="Compact"/>
              <w:jc w:val="left"/>
            </w:pPr>
            <w:r>
              <w:t xml:space="preserve">Professional sectioning clips, assorted sizes, 50-pack – hairdresser styling accessories</w:t>
            </w:r>
          </w:p>
        </w:tc>
        <w:tc>
          <w:tcPr/>
          <w:p>
            <w:pPr>
              <w:pStyle w:val="Compact"/>
              <w:jc w:val="left"/>
            </w:pPr>
            <w:r>
              <w:t xml:space="preserve">Accessories</w:t>
            </w:r>
          </w:p>
        </w:tc>
        <w:tc>
          <w:tcPr/>
          <w:p>
            <w:pPr>
              <w:pStyle w:val="Compact"/>
              <w:jc w:val="left"/>
            </w:pPr>
            <w:r>
              <w:t xml:space="preserve">20</w:t>
            </w:r>
          </w:p>
        </w:tc>
        <w:tc>
          <w:tcPr/>
          <w:p>
            <w:pPr>
              <w:pStyle w:val="Compact"/>
              <w:jc w:val="left"/>
            </w:pPr>
            <w:r>
              <w:t xml:space="preserve">3,200.00</w:t>
            </w:r>
          </w:p>
        </w:tc>
        <w:tc>
          <w:tcPr/>
          <w:p>
            <w:pPr>
              <w:pStyle w:val="Compact"/>
              <w:jc w:val="left"/>
            </w:pPr>
            <w:r>
              <w:t xml:space="preserve">64,000.00</w:t>
            </w:r>
          </w:p>
        </w:tc>
      </w:tr>
      <w:tr>
        <w:tc>
          <w:tcPr/>
          <w:p>
            <w:pPr>
              <w:pStyle w:val="Compact"/>
              <w:jc w:val="left"/>
            </w:pPr>
            <w:r>
              <w:t xml:space="preserve">12</w:t>
            </w:r>
          </w:p>
        </w:tc>
        <w:tc>
          <w:tcPr/>
          <w:p>
            <w:pPr>
              <w:pStyle w:val="Compact"/>
              <w:jc w:val="left"/>
            </w:pPr>
            <w:r>
              <w:t xml:space="preserve">UV sterilizer cabinet for hairdresser tools, 4-tier, digital timer – Buenos Aires health code compliance</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72,000.00</w:t>
            </w:r>
          </w:p>
        </w:tc>
        <w:tc>
          <w:tcPr/>
          <w:p>
            <w:pPr>
              <w:pStyle w:val="Compact"/>
              <w:jc w:val="left"/>
            </w:pPr>
            <w:r>
              <w:t xml:space="preserve">144,000.00</w:t>
            </w:r>
          </w:p>
        </w:tc>
      </w:tr>
    </w:tbl>
    <w:p>
      <w:pPr>
        <w:pStyle w:val="BodyText"/>
      </w:pPr>
      <w:r>
        <w:rPr>
          <w:bCs/>
          <w:b/>
        </w:rPr>
        <w:t xml:space="preserve">Subtotal:</w:t>
      </w:r>
      <w:r>
        <w:t xml:space="preserve"> </w:t>
      </w:r>
      <w:r>
        <w:t xml:space="preserve">ARS 3,575,200.00</w:t>
      </w:r>
    </w:p>
    <w:p>
      <w:pPr>
        <w:pStyle w:val="BodyText"/>
      </w:pPr>
      <w:r>
        <w:rPr>
          <w:bCs/>
          <w:b/>
        </w:rPr>
        <w:t xml:space="preserve">IVA (21% – Argentine Value Added Tax):</w:t>
      </w:r>
      <w:r>
        <w:t xml:space="preserve"> </w:t>
      </w:r>
      <w:r>
        <w:t xml:space="preserve">ARS 750,792.00</w:t>
      </w:r>
    </w:p>
    <w:p>
      <w:pPr>
        <w:pStyle w:val="BodyText"/>
      </w:pPr>
      <w:r>
        <w:rPr>
          <w:bCs/>
          <w:b/>
        </w:rPr>
        <w:t xml:space="preserve">Freight (Buenos Aires metropolitan delivery):</w:t>
      </w:r>
      <w:r>
        <w:t xml:space="preserve"> </w:t>
      </w:r>
      <w:r>
        <w:t xml:space="preserve">ARS 45,000.00</w:t>
      </w:r>
    </w:p>
    <w:p>
      <w:pPr>
        <w:pStyle w:val="BodyText"/>
      </w:pPr>
      <w:r>
        <w:rPr>
          <w:bCs/>
          <w:b/>
        </w:rPr>
        <w:t xml:space="preserve">GRAND TOTAL: ARS 4,370,992.00</w:t>
      </w:r>
    </w:p>
    <w:p>
      <w:pPr>
        <w:pStyle w:val="BodyText"/>
      </w:pPr>
      <w:r>
        <w:t xml:space="preserve">(Four Million Three Hundred Seventy Thousand Nine Hundred Ninety-Two Argentine Pesos and 00/100)</w:t>
      </w:r>
    </w:p>
    <w:bookmarkEnd w:id="23"/>
    <w:bookmarkStart w:id="24" w:name="terms-and-conditions"/>
    <w:p>
      <w:pPr>
        <w:pStyle w:val="Heading2"/>
      </w:pPr>
      <w:r>
        <w:t xml:space="preserve">Terms and Conditions</w:t>
      </w:r>
    </w:p>
    <w:p>
      <w:pPr>
        <w:pStyle w:val="FirstParagraph"/>
      </w:pPr>
      <w:r>
        <w:rPr>
          <w:bCs/>
          <w:b/>
        </w:rPr>
        <w:t xml:space="preserve">1. Payment Terms:</w:t>
      </w:r>
      <w:r>
        <w:t xml:space="preserve"> </w:t>
      </w:r>
      <w:r>
        <w:t xml:space="preserve">Payment shall be made within 30 (thirty) calendar days from the date of invoice issuance, via bank transfer (transferencia bancaria) to the supplier's account in Argentine Pesos (ARS). The Purchase Order is subject to the standard commercial terms of the Republic of Argentina. Early payment discount of 2% applies if settled within 10 days.</w:t>
      </w:r>
    </w:p>
    <w:p>
      <w:pPr>
        <w:pStyle w:val="BodyText"/>
      </w:pPr>
      <w:r>
        <w:rPr>
          <w:bCs/>
          <w:b/>
        </w:rPr>
        <w:t xml:space="preserve">2. Delivery:</w:t>
      </w:r>
      <w:r>
        <w:t xml:space="preserve"> </w:t>
      </w:r>
      <w:r>
        <w:t xml:space="preserve">All goods listed in this Purchase Order must be delivered to the hairdresser salon premises located at Av. Corrientes 4521, Piso 3, Buenos Aires, Argentina, within the specified delivery window. The supplier is responsible for all transportation, insurance, and handling costs within the Buenos Aires metropolitan area. Delivery must be made during business hours (08:00–18:00, Monday through Friday).</w:t>
      </w:r>
    </w:p>
    <w:p>
      <w:pPr>
        <w:pStyle w:val="BodyText"/>
      </w:pPr>
      <w:r>
        <w:rPr>
          <w:bCs/>
          <w:b/>
        </w:rPr>
        <w:t xml:space="preserve">3. Quality and Compliance:</w:t>
      </w:r>
      <w:r>
        <w:t xml:space="preserve"> </w:t>
      </w:r>
      <w:r>
        <w:t xml:space="preserve">All hairdresser equipment and professional products must comply with the Argentine National Institute of Industrial Property (INPI) regulations, the ANMAT (Administración Nacional de Medicamentos, Alimentos y Tecnología Médica) standards for cosmetic and hair care products, and the local Buenos Aires City health and safety ordinances (Ley 5.522 – Código de Salud de la Ciudad de Buenos Aires). The supplier warrants that all items are new, unused, and free from defects.</w:t>
      </w:r>
    </w:p>
    <w:p>
      <w:pPr>
        <w:pStyle w:val="BodyText"/>
      </w:pPr>
      <w:r>
        <w:rPr>
          <w:bCs/>
          <w:b/>
        </w:rPr>
        <w:t xml:space="preserve">4. Inspection and Acceptance:</w:t>
      </w:r>
      <w:r>
        <w:t xml:space="preserve"> </w:t>
      </w:r>
      <w:r>
        <w:t xml:space="preserve">The hairdresser salon management reserves the right to inspect all delivered goods within 5 (five) business days of receipt. Any items found to be damaged, incorrect, or non-conforming to the specifications stated in this Purchase Order must be reported in writing to the supplier within the inspection period. The supplier shall replace or refund non-conforming items within 10 business days at no additional cost.</w:t>
      </w:r>
    </w:p>
    <w:p>
      <w:pPr>
        <w:pStyle w:val="BodyText"/>
      </w:pPr>
      <w:r>
        <w:rPr>
          <w:bCs/>
          <w:b/>
        </w:rPr>
        <w:t xml:space="preserve">5. Warranty:</w:t>
      </w:r>
      <w:r>
        <w:t xml:space="preserve"> </w:t>
      </w:r>
      <w:r>
        <w:t xml:space="preserve">All professional hairdresser equipment (hairdryers, flat irons, shears, chairs, wash basins, and sterilizer cabinets) carries a minimum manufacturer warranty of 12 (twelve) months from the date of delivery. Consumable products (color, developer, keratin treatment, capes, clips) are covered against manufacturing defects for 6 (six) months. Warranty claims must be directed to the supplier, who shall coordinate with the manufacturer.</w:t>
      </w:r>
    </w:p>
    <w:p>
      <w:pPr>
        <w:pStyle w:val="BodyText"/>
      </w:pPr>
      <w:r>
        <w:rPr>
          <w:bCs/>
          <w:b/>
        </w:rPr>
        <w:t xml:space="preserve">6. Cancellation and Modification:</w:t>
      </w:r>
      <w:r>
        <w:t xml:space="preserve"> </w:t>
      </w:r>
      <w:r>
        <w:t xml:space="preserve">This Purchase Order may be modified or cancelled in writing by either party up to 7 (seven) business days prior to the scheduled delivery date. Cancellations after this period are subject to a 15% penalty on the value of undelivered goods. Any modifications must be documented in a written addendum signed by both parties.</w:t>
      </w:r>
    </w:p>
    <w:p>
      <w:pPr>
        <w:pStyle w:val="BodyText"/>
      </w:pPr>
      <w:r>
        <w:rPr>
          <w:bCs/>
          <w:b/>
        </w:rPr>
        <w:t xml:space="preserve">7. Applicable Law and Jurisdiction:</w:t>
      </w:r>
      <w:r>
        <w:t xml:space="preserve"> </w:t>
      </w:r>
      <w:r>
        <w:t xml:space="preserve">This Purchase Order is governed by the commercial laws of the Argentine Nation, particularly the Código Comercial de la Nación and the Ley de Defensa del Consumidor (Ley 24.240). Any disputes arising from this Purchase Order shall be resolved in the competent commercial courts of the City of Buenos Aires, Argentina. Both parties agree to attempt mediation before initiating litigation.</w:t>
      </w:r>
    </w:p>
    <w:p>
      <w:pPr>
        <w:pStyle w:val="BodyText"/>
      </w:pPr>
      <w:r>
        <w:rPr>
          <w:bCs/>
          <w:b/>
        </w:rPr>
        <w:t xml:space="preserve">8. Tax Compliance:</w:t>
      </w:r>
      <w:r>
        <w:t xml:space="preserve"> </w:t>
      </w:r>
      <w:r>
        <w:t xml:space="preserve">The supplier shall issue a Factura A (electronic invoice) in accordance with the AFIP (Administración Federal de Ingresos Públicos) regulations. The Purchase Order total includes the applicable 21% IVA. The supplier is responsible for all applicable taxes, including the Impuesto a los Bienes Personales if applicable, and any municipal taxes levied by the City of Buenos Aires.</w:t>
      </w:r>
    </w:p>
    <w:p>
      <w:pPr>
        <w:pStyle w:val="BodyText"/>
      </w:pPr>
      <w:r>
        <w:rPr>
          <w:bCs/>
          <w:b/>
        </w:rPr>
        <w:t xml:space="preserve">9. Confidentiality:</w:t>
      </w:r>
      <w:r>
        <w:t xml:space="preserve"> </w:t>
      </w:r>
      <w:r>
        <w:t xml:space="preserve">The pricing, product specifications, and business terms contained in this Purchase Order are confidential and shall not be disclosed to third parties without prior written consent of both the hairdresser salon and the supplier.</w:t>
      </w:r>
    </w:p>
    <w:p>
      <w:pPr>
        <w:pStyle w:val="BodyText"/>
      </w:pPr>
      <w:r>
        <w:rPr>
          <w:bCs/>
          <w:b/>
        </w:rPr>
        <w:t xml:space="preserve">10. Force Majeure:</w:t>
      </w:r>
      <w:r>
        <w:t xml:space="preserve"> </w:t>
      </w:r>
      <w:r>
        <w:t xml:space="preserve">Neither party shall be liable for delays or failures in performance resulting from events beyond reasonable control, including but not limited to natural disasters, government-mandated closures, strikes, or supply chain disruptions affecting the Buenos Aires metropolitan region.</w:t>
      </w:r>
    </w:p>
    <w:bookmarkEnd w:id="24"/>
    <w:bookmarkStart w:id="25" w:name="authorization-and-signatures"/>
    <w:p>
      <w:pPr>
        <w:pStyle w:val="Heading2"/>
      </w:pPr>
      <w:r>
        <w:t xml:space="preserve">Authorization and Signatures</w:t>
      </w:r>
    </w:p>
    <w:p>
      <w:pPr>
        <w:pStyle w:val="FirstParagraph"/>
      </w:pPr>
      <w:r>
        <w:rPr>
          <w:bCs/>
          <w:b/>
        </w:rPr>
        <w:t xml:space="preserve">Prepared by (Hairdresser Salon):</w:t>
      </w:r>
    </w:p>
    <w:p>
      <w:pPr>
        <w:pStyle w:val="BodyText"/>
      </w:pPr>
      <w:r>
        <w:t xml:space="preserve">Carla Fernández</w:t>
      </w:r>
    </w:p>
    <w:p>
      <w:pPr>
        <w:pStyle w:val="BodyText"/>
      </w:pPr>
      <w:r>
        <w:t xml:space="preserve">Salon Manager – "El Peinado Porteño"</w:t>
      </w:r>
    </w:p>
    <w:p>
      <w:pPr>
        <w:pStyle w:val="BodyText"/>
      </w:pPr>
      <w:r>
        <w:t xml:space="preserve">Date: 15/06/2025</w:t>
      </w:r>
    </w:p>
    <w:p>
      <w:pPr>
        <w:pStyle w:val="BodyText"/>
      </w:pPr>
      <w:r>
        <w:rPr>
          <w:bCs/>
          <w:b/>
        </w:rPr>
        <w:t xml:space="preserve">Approved by (Supplier):</w:t>
      </w:r>
    </w:p>
    <w:p>
      <w:pPr>
        <w:pStyle w:val="BodyText"/>
      </w:pPr>
      <w:r>
        <w:t xml:space="preserve">Martín González</w:t>
      </w:r>
    </w:p>
    <w:p>
      <w:pPr>
        <w:pStyle w:val="BodyText"/>
      </w:pPr>
      <w:r>
        <w:t xml:space="preserve">Commercial Director – Distribuidora Capilar del Sur S.A.</w:t>
      </w:r>
    </w:p>
    <w:p>
      <w:pPr>
        <w:pStyle w:val="BodyText"/>
      </w:pPr>
      <w:r>
        <w:t xml:space="preserve">Date: 15/06/2025</w:t>
      </w:r>
    </w:p>
    <w:p>
      <w:pPr>
        <w:pStyle w:val="BodyText"/>
      </w:pPr>
      <w:r>
        <w:t xml:space="preserve">This Purchase Order (PO-BA-2025-00487) was issued by Salón &amp; Barbería "El Peinado Porteño," a registered hairdresser and barbering establishment operating in the City of Buenos Aires, Argentina. This document constitutes a binding commercial agreement between the parties upon signature. All communications regarding this Purchase Order should reference the PO number. For questions, contact compras@elpeinadoporteno.com.ar or +54 11 4321-5678.</w:t>
      </w:r>
    </w:p>
    <w:p>
      <w:pPr>
        <w:pStyle w:val="BodyText"/>
      </w:pPr>
      <w:r>
        <w:t xml:space="preserve">Document generated in Buenos Aires, Argentina – June 2025. All prices are expressed in Argentine Pesos (ARS) and are subject to the exchange rate and tax regulations in effect at the time of transaction.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Buenos Aires, Argentina</dc:title>
  <dc:creator/>
  <dc:language>en</dc:language>
  <cp:keywords/>
  <dcterms:created xsi:type="dcterms:W3CDTF">2026-10-10T04:35:50Z</dcterms:created>
  <dcterms:modified xsi:type="dcterms:W3CDTF">2026-10-10T04:35:50Z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