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Supply</w:t>
      </w:r>
      <w:r>
        <w:t xml:space="preserve"> </w:t>
      </w:r>
      <w:r>
        <w:t xml:space="preserve">-</w:t>
      </w:r>
      <w:r>
        <w:t xml:space="preserve"> </w:t>
      </w:r>
      <w:r>
        <w:t xml:space="preserve">Santiago,</w:t>
      </w:r>
      <w:r>
        <w:t xml:space="preserve"> </w:t>
      </w:r>
      <w:r>
        <w:t xml:space="preserve">Chile</w:t>
      </w:r>
    </w:p>
    <w:bookmarkStart w:id="20" w:name="estudio-capilar-santiago"/>
    <w:p>
      <w:pPr>
        <w:pStyle w:val="Heading1"/>
      </w:pPr>
      <w:r>
        <w:t xml:space="preserve">Estudio Capilar Santiago</w:t>
      </w:r>
    </w:p>
    <w:p>
      <w:pPr>
        <w:pStyle w:val="FirstParagraph"/>
      </w:pPr>
      <w:r>
        <w:rPr>
          <w:bCs/>
          <w:b/>
        </w:rPr>
        <w:t xml:space="preserve">Hairdresser &amp; Beauty Salon</w:t>
      </w:r>
    </w:p>
    <w:p>
      <w:pPr>
        <w:pStyle w:val="BodyText"/>
      </w:pPr>
      <w:r>
        <w:t xml:space="preserve">Av. Providencia 1245, Of. 803</w:t>
      </w:r>
    </w:p>
    <w:p>
      <w:pPr>
        <w:pStyle w:val="BodyText"/>
      </w:pPr>
      <w:r>
        <w:t xml:space="preserve">Providencia, Santiago, Chile</w:t>
      </w:r>
    </w:p>
    <w:p>
      <w:pPr>
        <w:pStyle w:val="BodyText"/>
      </w:pPr>
      <w:r>
        <w:t xml:space="preserve">Phone: +56 2 2345 6789</w:t>
      </w:r>
    </w:p>
    <w:p>
      <w:pPr>
        <w:pStyle w:val="BodyText"/>
      </w:pPr>
      <w:r>
        <w:t xml:space="preserve">Email: compras@estudiocapilarsantiago.cl</w:t>
      </w:r>
    </w:p>
    <w:p>
      <w:pPr>
        <w:pStyle w:val="BodyText"/>
      </w:pPr>
      <w:r>
        <w:t xml:space="preserve">RUT: 76.543.210-K</w:t>
      </w:r>
    </w:p>
    <w:bookmarkEnd w:id="20"/>
    <w:bookmarkStart w:id="21" w:name="purchase-order"/>
    <w:p>
      <w:pPr>
        <w:pStyle w:val="Heading2"/>
      </w:pPr>
      <w:r>
        <w:t xml:space="preserve">PURCHASE ORDER</w:t>
      </w:r>
    </w:p>
    <w:p>
      <w:pPr>
        <w:pStyle w:val="FirstParagraph"/>
      </w:pPr>
      <w:r>
        <w:t xml:space="preserve">PO Number: PO-2025-0847</w:t>
      </w:r>
    </w:p>
    <w:p>
      <w:pPr>
        <w:pStyle w:val="BodyText"/>
      </w:pPr>
      <w:r>
        <w:t xml:space="preserve">Date: June 12, 2025</w:t>
      </w:r>
    </w:p>
    <w:p>
      <w:pPr>
        <w:pStyle w:val="BodyText"/>
      </w:pPr>
      <w:r>
        <w:t xml:space="preserve">Valid Until: July 12, 2025</w:t>
      </w:r>
    </w:p>
    <w:bookmarkEnd w:id="21"/>
    <w:bookmarkStart w:id="22" w:name="vendor-supplier-information"/>
    <w:p>
      <w:pPr>
        <w:pStyle w:val="Heading3"/>
      </w:pPr>
      <w:r>
        <w:t xml:space="preserve">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Distribuidora Profesional de Productos Capilares SpA</w:t>
            </w:r>
          </w:p>
        </w:tc>
      </w:tr>
      <w:tr>
        <w:tc>
          <w:tcPr/>
          <w:p>
            <w:pPr>
              <w:pStyle w:val="Compact"/>
              <w:jc w:val="left"/>
            </w:pPr>
            <w:r>
              <w:rPr>
                <w:bCs/>
                <w:b/>
              </w:rPr>
              <w:t xml:space="preserve">Address:</w:t>
            </w:r>
          </w:p>
        </w:tc>
        <w:tc>
          <w:tcPr/>
          <w:p>
            <w:pPr>
              <w:pStyle w:val="Compact"/>
              <w:jc w:val="left"/>
            </w:pPr>
            <w:r>
              <w:t xml:space="preserve">Calle Los Aromos 2890, Vitacura, Santiago, Chile</w:t>
            </w:r>
          </w:p>
        </w:tc>
      </w:tr>
      <w:tr>
        <w:tc>
          <w:tcPr/>
          <w:p>
            <w:pPr>
              <w:pStyle w:val="Compact"/>
              <w:jc w:val="left"/>
            </w:pPr>
            <w:r>
              <w:rPr>
                <w:bCs/>
                <w:b/>
              </w:rPr>
              <w:t xml:space="preserve">RUT:</w:t>
            </w:r>
          </w:p>
        </w:tc>
        <w:tc>
          <w:tcPr/>
          <w:p>
            <w:pPr>
              <w:pStyle w:val="Compact"/>
              <w:jc w:val="left"/>
            </w:pPr>
            <w:r>
              <w:t xml:space="preserve">78.123.456-7</w:t>
            </w:r>
          </w:p>
        </w:tc>
      </w:tr>
      <w:tr>
        <w:tc>
          <w:tcPr/>
          <w:p>
            <w:pPr>
              <w:pStyle w:val="Compact"/>
              <w:jc w:val="left"/>
            </w:pPr>
            <w:r>
              <w:rPr>
                <w:bCs/>
                <w:b/>
              </w:rPr>
              <w:t xml:space="preserve">Contact Person:</w:t>
            </w:r>
          </w:p>
        </w:tc>
        <w:tc>
          <w:tcPr/>
          <w:p>
            <w:pPr>
              <w:pStyle w:val="Compact"/>
              <w:jc w:val="left"/>
            </w:pPr>
            <w:r>
              <w:t xml:space="preserve">Señora Carolina Fuentes – Account Manager</w:t>
            </w:r>
          </w:p>
        </w:tc>
      </w:tr>
      <w:tr>
        <w:tc>
          <w:tcPr/>
          <w:p>
            <w:pPr>
              <w:pStyle w:val="Compact"/>
              <w:jc w:val="left"/>
            </w:pPr>
            <w:r>
              <w:rPr>
                <w:bCs/>
                <w:b/>
              </w:rPr>
              <w:t xml:space="preserve">Phone:</w:t>
            </w:r>
          </w:p>
        </w:tc>
        <w:tc>
          <w:tcPr/>
          <w:p>
            <w:pPr>
              <w:pStyle w:val="Compact"/>
              <w:jc w:val="left"/>
            </w:pPr>
            <w:r>
              <w:t xml:space="preserve">+56 2 2987 6543</w:t>
            </w:r>
          </w:p>
        </w:tc>
      </w:tr>
      <w:tr>
        <w:tc>
          <w:tcPr/>
          <w:p>
            <w:pPr>
              <w:pStyle w:val="Compact"/>
              <w:jc w:val="left"/>
            </w:pPr>
            <w:r>
              <w:rPr>
                <w:bCs/>
                <w:b/>
              </w:rPr>
              <w:t xml:space="preserve">Email:</w:t>
            </w:r>
          </w:p>
        </w:tc>
        <w:tc>
          <w:tcPr/>
          <w:p>
            <w:pPr>
              <w:pStyle w:val="Compact"/>
              <w:jc w:val="left"/>
            </w:pPr>
            <w:r>
              <w:t xml:space="preserve">ventas@distribuidoracapilar.cl</w:t>
            </w:r>
          </w:p>
        </w:tc>
      </w:tr>
    </w:tbl>
    <w:bookmarkEnd w:id="22"/>
    <w:bookmarkStart w:id="23" w:name="delivery-details-santiago-chile"/>
    <w:p>
      <w:pPr>
        <w:pStyle w:val="Heading3"/>
      </w:pPr>
      <w:r>
        <w:t xml:space="preserve">Delivery Details – Santiago, Chile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Delivery Address:</w:t>
            </w:r>
          </w:p>
        </w:tc>
        <w:tc>
          <w:tcPr/>
          <w:p>
            <w:pPr>
              <w:pStyle w:val="Compact"/>
              <w:jc w:val="left"/>
            </w:pPr>
            <w:r>
              <w:t xml:space="preserve">Av. Providencia 1245, Of. 803, Providencia, Santiago, Chile (CP: 7500000)</w:t>
            </w:r>
          </w:p>
        </w:tc>
      </w:tr>
      <w:tr>
        <w:tc>
          <w:tcPr/>
          <w:p>
            <w:pPr>
              <w:pStyle w:val="Compact"/>
              <w:jc w:val="left"/>
            </w:pPr>
            <w:r>
              <w:rPr>
                <w:bCs/>
                <w:b/>
              </w:rPr>
              <w:t xml:space="preserve">Delivery Window:</w:t>
            </w:r>
          </w:p>
        </w:tc>
        <w:tc>
          <w:tcPr/>
          <w:p>
            <w:pPr>
              <w:pStyle w:val="Compact"/>
              <w:jc w:val="left"/>
            </w:pPr>
            <w:r>
              <w:t xml:space="preserve">June 20 – June 27, 2025 (Monday to Friday, 09:00 – 17:00 hrs)</w:t>
            </w:r>
          </w:p>
        </w:tc>
      </w:tr>
      <w:tr>
        <w:tc>
          <w:tcPr/>
          <w:p>
            <w:pPr>
              <w:pStyle w:val="Compact"/>
              <w:jc w:val="left"/>
            </w:pPr>
            <w:r>
              <w:rPr>
                <w:bCs/>
                <w:b/>
              </w:rPr>
              <w:t xml:space="preserve">Receiving Contact:</w:t>
            </w:r>
          </w:p>
        </w:tc>
        <w:tc>
          <w:tcPr/>
          <w:p>
            <w:pPr>
              <w:pStyle w:val="Compact"/>
              <w:jc w:val="left"/>
            </w:pPr>
            <w:r>
              <w:t xml:space="preserve">Don Matías Herrera – Operations Manager, Hairdresser Studio</w:t>
            </w:r>
          </w:p>
        </w:tc>
      </w:tr>
      <w:tr>
        <w:tc>
          <w:tcPr/>
          <w:p>
            <w:pPr>
              <w:pStyle w:val="Compact"/>
              <w:jc w:val="left"/>
            </w:pPr>
            <w:r>
              <w:rPr>
                <w:bCs/>
                <w:b/>
              </w:rPr>
              <w:t xml:space="preserve">Shipping Method:</w:t>
            </w:r>
          </w:p>
        </w:tc>
        <w:tc>
          <w:tcPr/>
          <w:p>
            <w:pPr>
              <w:pStyle w:val="Compact"/>
              <w:jc w:val="left"/>
            </w:pPr>
            <w:r>
              <w:t xml:space="preserve">Local courier within Santiago Metropolitan Region</w:t>
            </w:r>
          </w:p>
        </w:tc>
      </w:tr>
    </w:tbl>
    <w:bookmarkEnd w:id="23"/>
    <w:bookmarkStart w:id="24" w:name="X7e7067b8496b784968705fa68937a486edcc03d"/>
    <w:p>
      <w:pPr>
        <w:pStyle w:val="Heading3"/>
      </w:pPr>
      <w:r>
        <w:t xml:space="preserve">Line Items – Hairdresser Professional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1</w:t>
            </w:r>
          </w:p>
        </w:tc>
        <w:tc>
          <w:tcPr/>
          <w:p>
            <w:pPr>
              <w:pStyle w:val="Compact"/>
              <w:jc w:val="left"/>
            </w:pPr>
            <w:r>
              <w:t xml:space="preserve">Professional Hairdryer – Ionic, 2200W (for Hairdresser workstation)</w:t>
            </w:r>
          </w:p>
        </w:tc>
        <w:tc>
          <w:tcPr/>
          <w:p>
            <w:pPr>
              <w:pStyle w:val="Compact"/>
              <w:jc w:val="left"/>
            </w:pPr>
            <w:r>
              <w:t xml:space="preserve">4</w:t>
            </w:r>
          </w:p>
        </w:tc>
        <w:tc>
          <w:tcPr/>
          <w:p>
            <w:pPr>
              <w:pStyle w:val="Compact"/>
              <w:jc w:val="left"/>
            </w:pPr>
            <w:r>
              <w:t xml:space="preserve">pcs</w:t>
            </w:r>
          </w:p>
        </w:tc>
        <w:tc>
          <w:tcPr/>
          <w:p>
            <w:pPr>
              <w:pStyle w:val="Compact"/>
              <w:jc w:val="left"/>
            </w:pPr>
            <w:r>
              <w:t xml:space="preserve">89,990</w:t>
            </w:r>
          </w:p>
        </w:tc>
        <w:tc>
          <w:tcPr/>
          <w:p>
            <w:pPr>
              <w:pStyle w:val="Compact"/>
              <w:jc w:val="left"/>
            </w:pPr>
            <w:r>
              <w:t xml:space="preserve">359,960</w:t>
            </w:r>
          </w:p>
        </w:tc>
      </w:tr>
      <w:tr>
        <w:tc>
          <w:tcPr/>
          <w:p>
            <w:pPr>
              <w:pStyle w:val="Compact"/>
              <w:jc w:val="left"/>
            </w:pPr>
            <w:r>
              <w:t xml:space="preserve">2</w:t>
            </w:r>
          </w:p>
        </w:tc>
        <w:tc>
          <w:tcPr/>
          <w:p>
            <w:pPr>
              <w:pStyle w:val="Compact"/>
              <w:jc w:val="left"/>
            </w:pPr>
            <w:r>
              <w:t xml:space="preserve">Ceramic Flat Iron – 1" Titanium Plate, 220V (Chile standard)</w:t>
            </w:r>
          </w:p>
        </w:tc>
        <w:tc>
          <w:tcPr/>
          <w:p>
            <w:pPr>
              <w:pStyle w:val="Compact"/>
              <w:jc w:val="left"/>
            </w:pPr>
            <w:r>
              <w:t xml:space="preserve">3</w:t>
            </w:r>
          </w:p>
        </w:tc>
        <w:tc>
          <w:tcPr/>
          <w:p>
            <w:pPr>
              <w:pStyle w:val="Compact"/>
              <w:jc w:val="left"/>
            </w:pPr>
            <w:r>
              <w:t xml:space="preserve">pcs</w:t>
            </w:r>
          </w:p>
        </w:tc>
        <w:tc>
          <w:tcPr/>
          <w:p>
            <w:pPr>
              <w:pStyle w:val="Compact"/>
              <w:jc w:val="left"/>
            </w:pPr>
            <w:r>
              <w:t xml:space="preserve">124,500</w:t>
            </w:r>
          </w:p>
        </w:tc>
        <w:tc>
          <w:tcPr/>
          <w:p>
            <w:pPr>
              <w:pStyle w:val="Compact"/>
              <w:jc w:val="left"/>
            </w:pPr>
            <w:r>
              <w:t xml:space="preserve">373,500</w:t>
            </w:r>
          </w:p>
        </w:tc>
      </w:tr>
      <w:tr>
        <w:tc>
          <w:tcPr/>
          <w:p>
            <w:pPr>
              <w:pStyle w:val="Compact"/>
              <w:jc w:val="left"/>
            </w:pPr>
            <w:r>
              <w:t xml:space="preserve">3</w:t>
            </w:r>
          </w:p>
        </w:tc>
        <w:tc>
          <w:tcPr/>
          <w:p>
            <w:pPr>
              <w:pStyle w:val="Compact"/>
              <w:jc w:val="left"/>
            </w:pPr>
            <w:r>
              <w:t xml:space="preserve">Professional Curling Iron – 25mm Barrel, Auto-Heat</w:t>
            </w:r>
          </w:p>
        </w:tc>
        <w:tc>
          <w:tcPr/>
          <w:p>
            <w:pPr>
              <w:pStyle w:val="Compact"/>
              <w:jc w:val="left"/>
            </w:pPr>
            <w:r>
              <w:t xml:space="preserve">2</w:t>
            </w:r>
          </w:p>
        </w:tc>
        <w:tc>
          <w:tcPr/>
          <w:p>
            <w:pPr>
              <w:pStyle w:val="Compact"/>
              <w:jc w:val="left"/>
            </w:pPr>
            <w:r>
              <w:t xml:space="preserve">pcs</w:t>
            </w:r>
          </w:p>
        </w:tc>
        <w:tc>
          <w:tcPr/>
          <w:p>
            <w:pPr>
              <w:pStyle w:val="Compact"/>
              <w:jc w:val="left"/>
            </w:pPr>
            <w:r>
              <w:t xml:space="preserve">78,900</w:t>
            </w:r>
          </w:p>
        </w:tc>
        <w:tc>
          <w:tcPr/>
          <w:p>
            <w:pPr>
              <w:pStyle w:val="Compact"/>
              <w:jc w:val="left"/>
            </w:pPr>
            <w:r>
              <w:t xml:space="preserve">157,800</w:t>
            </w:r>
          </w:p>
        </w:tc>
      </w:tr>
      <w:tr>
        <w:tc>
          <w:tcPr/>
          <w:p>
            <w:pPr>
              <w:pStyle w:val="Compact"/>
              <w:jc w:val="left"/>
            </w:pPr>
            <w:r>
              <w:t xml:space="preserve">4</w:t>
            </w:r>
          </w:p>
        </w:tc>
        <w:tc>
          <w:tcPr/>
          <w:p>
            <w:pPr>
              <w:pStyle w:val="Compact"/>
              <w:jc w:val="left"/>
            </w:pPr>
            <w:r>
              <w:t xml:space="preserve">Ammonia-Free Hair Color – Full Range (12 shades), 100ml tubes</w:t>
            </w:r>
          </w:p>
        </w:tc>
        <w:tc>
          <w:tcPr/>
          <w:p>
            <w:pPr>
              <w:pStyle w:val="Compact"/>
              <w:jc w:val="left"/>
            </w:pPr>
            <w:r>
              <w:t xml:space="preserve">48</w:t>
            </w:r>
          </w:p>
        </w:tc>
        <w:tc>
          <w:tcPr/>
          <w:p>
            <w:pPr>
              <w:pStyle w:val="Compact"/>
              <w:jc w:val="left"/>
            </w:pPr>
            <w:r>
              <w:t xml:space="preserve">tubes</w:t>
            </w:r>
          </w:p>
        </w:tc>
        <w:tc>
          <w:tcPr/>
          <w:p>
            <w:pPr>
              <w:pStyle w:val="Compact"/>
              <w:jc w:val="left"/>
            </w:pPr>
            <w:r>
              <w:t xml:space="preserve">4,250</w:t>
            </w:r>
          </w:p>
        </w:tc>
        <w:tc>
          <w:tcPr/>
          <w:p>
            <w:pPr>
              <w:pStyle w:val="Compact"/>
              <w:jc w:val="left"/>
            </w:pPr>
            <w:r>
              <w:t xml:space="preserve">204,000</w:t>
            </w:r>
          </w:p>
        </w:tc>
      </w:tr>
      <w:tr>
        <w:tc>
          <w:tcPr/>
          <w:p>
            <w:pPr>
              <w:pStyle w:val="Compact"/>
              <w:jc w:val="left"/>
            </w:pPr>
            <w:r>
              <w:t xml:space="preserve">5</w:t>
            </w:r>
          </w:p>
        </w:tc>
        <w:tc>
          <w:tcPr/>
          <w:p>
            <w:pPr>
              <w:pStyle w:val="Compact"/>
              <w:jc w:val="left"/>
            </w:pPr>
            <w:r>
              <w:t xml:space="preserve">Professional Hair Developer – 20 Volume, 1000ml bottles</w:t>
            </w:r>
          </w:p>
        </w:tc>
        <w:tc>
          <w:tcPr/>
          <w:p>
            <w:pPr>
              <w:pStyle w:val="Compact"/>
              <w:jc w:val="left"/>
            </w:pPr>
            <w:r>
              <w:t xml:space="preserve">12</w:t>
            </w:r>
          </w:p>
        </w:tc>
        <w:tc>
          <w:tcPr/>
          <w:p>
            <w:pPr>
              <w:pStyle w:val="Compact"/>
              <w:jc w:val="left"/>
            </w:pPr>
            <w:r>
              <w:t xml:space="preserve">bottles</w:t>
            </w:r>
          </w:p>
        </w:tc>
        <w:tc>
          <w:tcPr/>
          <w:p>
            <w:pPr>
              <w:pStyle w:val="Compact"/>
              <w:jc w:val="left"/>
            </w:pPr>
            <w:r>
              <w:t xml:space="preserve">6,800</w:t>
            </w:r>
          </w:p>
        </w:tc>
        <w:tc>
          <w:tcPr/>
          <w:p>
            <w:pPr>
              <w:pStyle w:val="Compact"/>
              <w:jc w:val="left"/>
            </w:pPr>
            <w:r>
              <w:t xml:space="preserve">81,600</w:t>
            </w:r>
          </w:p>
        </w:tc>
      </w:tr>
      <w:tr>
        <w:tc>
          <w:tcPr/>
          <w:p>
            <w:pPr>
              <w:pStyle w:val="Compact"/>
              <w:jc w:val="left"/>
            </w:pPr>
            <w:r>
              <w:t xml:space="preserve">6</w:t>
            </w:r>
          </w:p>
        </w:tc>
        <w:tc>
          <w:tcPr/>
          <w:p>
            <w:pPr>
              <w:pStyle w:val="Compact"/>
              <w:jc w:val="left"/>
            </w:pPr>
            <w:r>
              <w:t xml:space="preserve">Keratin Treatment – Deep Repair, 500ml (for Hairdresser service menu)</w:t>
            </w:r>
          </w:p>
        </w:tc>
        <w:tc>
          <w:tcPr/>
          <w:p>
            <w:pPr>
              <w:pStyle w:val="Compact"/>
              <w:jc w:val="left"/>
            </w:pPr>
            <w:r>
              <w:t xml:space="preserve">6</w:t>
            </w:r>
          </w:p>
        </w:tc>
        <w:tc>
          <w:tcPr/>
          <w:p>
            <w:pPr>
              <w:pStyle w:val="Compact"/>
              <w:jc w:val="left"/>
            </w:pPr>
            <w:r>
              <w:t xml:space="preserve">bottles</w:t>
            </w:r>
          </w:p>
        </w:tc>
        <w:tc>
          <w:tcPr/>
          <w:p>
            <w:pPr>
              <w:pStyle w:val="Compact"/>
              <w:jc w:val="left"/>
            </w:pPr>
            <w:r>
              <w:t xml:space="preserve">32,500</w:t>
            </w:r>
          </w:p>
        </w:tc>
        <w:tc>
          <w:tcPr/>
          <w:p>
            <w:pPr>
              <w:pStyle w:val="Compact"/>
              <w:jc w:val="left"/>
            </w:pPr>
            <w:r>
              <w:t xml:space="preserve">195,000</w:t>
            </w:r>
          </w:p>
        </w:tc>
      </w:tr>
      <w:tr>
        <w:tc>
          <w:tcPr/>
          <w:p>
            <w:pPr>
              <w:pStyle w:val="Compact"/>
              <w:jc w:val="left"/>
            </w:pPr>
            <w:r>
              <w:t xml:space="preserve">7</w:t>
            </w:r>
          </w:p>
        </w:tc>
        <w:tc>
          <w:tcPr/>
          <w:p>
            <w:pPr>
              <w:pStyle w:val="Compact"/>
              <w:jc w:val="left"/>
            </w:pPr>
            <w:r>
              <w:t xml:space="preserve">Professional Scissors – Japanese Steel, 6.5" (Hairdresser cutting set)</w:t>
            </w:r>
          </w:p>
        </w:tc>
        <w:tc>
          <w:tcPr/>
          <w:p>
            <w:pPr>
              <w:pStyle w:val="Compact"/>
              <w:jc w:val="left"/>
            </w:pPr>
            <w:r>
              <w:t xml:space="preserve">4</w:t>
            </w:r>
          </w:p>
        </w:tc>
        <w:tc>
          <w:tcPr/>
          <w:p>
            <w:pPr>
              <w:pStyle w:val="Compact"/>
              <w:jc w:val="left"/>
            </w:pPr>
            <w:r>
              <w:t xml:space="preserve">pcs</w:t>
            </w:r>
          </w:p>
        </w:tc>
        <w:tc>
          <w:tcPr/>
          <w:p>
            <w:pPr>
              <w:pStyle w:val="Compact"/>
              <w:jc w:val="left"/>
            </w:pPr>
            <w:r>
              <w:t xml:space="preserve">55,000</w:t>
            </w:r>
          </w:p>
        </w:tc>
        <w:tc>
          <w:tcPr/>
          <w:p>
            <w:pPr>
              <w:pStyle w:val="Compact"/>
              <w:jc w:val="left"/>
            </w:pPr>
            <w:r>
              <w:t xml:space="preserve">220,000</w:t>
            </w:r>
          </w:p>
        </w:tc>
      </w:tr>
      <w:tr>
        <w:tc>
          <w:tcPr/>
          <w:p>
            <w:pPr>
              <w:pStyle w:val="Compact"/>
              <w:jc w:val="left"/>
            </w:pPr>
            <w:r>
              <w:t xml:space="preserve">8</w:t>
            </w:r>
          </w:p>
        </w:tc>
        <w:tc>
          <w:tcPr/>
          <w:p>
            <w:pPr>
              <w:pStyle w:val="Compact"/>
              <w:jc w:val="left"/>
            </w:pPr>
            <w:r>
              <w:t xml:space="preserve">Thinning Shears – 7" (Hairdresser texturizing tool)</w:t>
            </w:r>
          </w:p>
        </w:tc>
        <w:tc>
          <w:tcPr/>
          <w:p>
            <w:pPr>
              <w:pStyle w:val="Compact"/>
              <w:jc w:val="left"/>
            </w:pPr>
            <w:r>
              <w:t xml:space="preserve">3</w:t>
            </w:r>
          </w:p>
        </w:tc>
        <w:tc>
          <w:tcPr/>
          <w:p>
            <w:pPr>
              <w:pStyle w:val="Compact"/>
              <w:jc w:val="left"/>
            </w:pPr>
            <w:r>
              <w:t xml:space="preserve">pcs</w:t>
            </w:r>
          </w:p>
        </w:tc>
        <w:tc>
          <w:tcPr/>
          <w:p>
            <w:pPr>
              <w:pStyle w:val="Compact"/>
              <w:jc w:val="left"/>
            </w:pPr>
            <w:r>
              <w:t xml:space="preserve">42,000</w:t>
            </w:r>
          </w:p>
        </w:tc>
        <w:tc>
          <w:tcPr/>
          <w:p>
            <w:pPr>
              <w:pStyle w:val="Compact"/>
              <w:jc w:val="left"/>
            </w:pPr>
            <w:r>
              <w:t xml:space="preserve">126,000</w:t>
            </w:r>
          </w:p>
        </w:tc>
      </w:tr>
      <w:tr>
        <w:tc>
          <w:tcPr/>
          <w:p>
            <w:pPr>
              <w:pStyle w:val="Compact"/>
              <w:jc w:val="left"/>
            </w:pPr>
            <w:r>
              <w:t xml:space="preserve">9</w:t>
            </w:r>
          </w:p>
        </w:tc>
        <w:tc>
          <w:tcPr/>
          <w:p>
            <w:pPr>
              <w:pStyle w:val="Compact"/>
              <w:jc w:val="left"/>
            </w:pPr>
            <w:r>
              <w:t xml:space="preserve">Disposable Hairdressing Capes – Black, 150x180cm</w:t>
            </w:r>
          </w:p>
        </w:tc>
        <w:tc>
          <w:tcPr/>
          <w:p>
            <w:pPr>
              <w:pStyle w:val="Compact"/>
              <w:jc w:val="left"/>
            </w:pPr>
            <w:r>
              <w:t xml:space="preserve">200</w:t>
            </w:r>
          </w:p>
        </w:tc>
        <w:tc>
          <w:tcPr/>
          <w:p>
            <w:pPr>
              <w:pStyle w:val="Compact"/>
              <w:jc w:val="left"/>
            </w:pPr>
            <w:r>
              <w:t xml:space="preserve">pcs</w:t>
            </w:r>
          </w:p>
        </w:tc>
        <w:tc>
          <w:tcPr/>
          <w:p>
            <w:pPr>
              <w:pStyle w:val="Compact"/>
              <w:jc w:val="left"/>
            </w:pPr>
            <w:r>
              <w:t xml:space="preserve">1,850</w:t>
            </w:r>
          </w:p>
        </w:tc>
        <w:tc>
          <w:tcPr/>
          <w:p>
            <w:pPr>
              <w:pStyle w:val="Compact"/>
              <w:jc w:val="left"/>
            </w:pPr>
            <w:r>
              <w:t xml:space="preserve">370,000</w:t>
            </w:r>
          </w:p>
        </w:tc>
      </w:tr>
      <w:tr>
        <w:tc>
          <w:tcPr/>
          <w:p>
            <w:pPr>
              <w:pStyle w:val="Compact"/>
              <w:jc w:val="left"/>
            </w:pPr>
            <w:r>
              <w:t xml:space="preserve">10</w:t>
            </w:r>
          </w:p>
        </w:tc>
        <w:tc>
          <w:tcPr/>
          <w:p>
            <w:pPr>
              <w:pStyle w:val="Compact"/>
              <w:jc w:val="left"/>
            </w:pPr>
            <w:r>
              <w:t xml:space="preserve">Professional Shampoo – Sulfate-Free, 1L (Hairdresser retail &amp; in-salon use)</w:t>
            </w:r>
          </w:p>
        </w:tc>
        <w:tc>
          <w:tcPr/>
          <w:p>
            <w:pPr>
              <w:pStyle w:val="Compact"/>
              <w:jc w:val="left"/>
            </w:pPr>
            <w:r>
              <w:t xml:space="preserve">24</w:t>
            </w:r>
          </w:p>
        </w:tc>
        <w:tc>
          <w:tcPr/>
          <w:p>
            <w:pPr>
              <w:pStyle w:val="Compact"/>
              <w:jc w:val="left"/>
            </w:pPr>
            <w:r>
              <w:t xml:space="preserve">bottles</w:t>
            </w:r>
          </w:p>
        </w:tc>
        <w:tc>
          <w:tcPr/>
          <w:p>
            <w:pPr>
              <w:pStyle w:val="Compact"/>
              <w:jc w:val="left"/>
            </w:pPr>
            <w:r>
              <w:t xml:space="preserve">8,900</w:t>
            </w:r>
          </w:p>
        </w:tc>
        <w:tc>
          <w:tcPr/>
          <w:p>
            <w:pPr>
              <w:pStyle w:val="Compact"/>
              <w:jc w:val="left"/>
            </w:pPr>
            <w:r>
              <w:t xml:space="preserve">213,600</w:t>
            </w:r>
          </w:p>
        </w:tc>
      </w:tr>
      <w:tr>
        <w:tc>
          <w:tcPr/>
          <w:p>
            <w:pPr>
              <w:pStyle w:val="Compact"/>
              <w:jc w:val="left"/>
            </w:pPr>
            <w:r>
              <w:t xml:space="preserve">11</w:t>
            </w:r>
          </w:p>
        </w:tc>
        <w:tc>
          <w:tcPr/>
          <w:p>
            <w:pPr>
              <w:pStyle w:val="Compact"/>
              <w:jc w:val="left"/>
            </w:pPr>
            <w:r>
              <w:t xml:space="preserve">Professional Conditioner – Moisturizing, 1L</w:t>
            </w:r>
          </w:p>
        </w:tc>
        <w:tc>
          <w:tcPr/>
          <w:p>
            <w:pPr>
              <w:pStyle w:val="Compact"/>
              <w:jc w:val="left"/>
            </w:pPr>
            <w:r>
              <w:t xml:space="preserve">24</w:t>
            </w:r>
          </w:p>
        </w:tc>
        <w:tc>
          <w:tcPr/>
          <w:p>
            <w:pPr>
              <w:pStyle w:val="Compact"/>
              <w:jc w:val="left"/>
            </w:pPr>
            <w:r>
              <w:t xml:space="preserve">bottles</w:t>
            </w:r>
          </w:p>
        </w:tc>
        <w:tc>
          <w:tcPr/>
          <w:p>
            <w:pPr>
              <w:pStyle w:val="Compact"/>
              <w:jc w:val="left"/>
            </w:pPr>
            <w:r>
              <w:t xml:space="preserve">9,400</w:t>
            </w:r>
          </w:p>
        </w:tc>
        <w:tc>
          <w:tcPr/>
          <w:p>
            <w:pPr>
              <w:pStyle w:val="Compact"/>
              <w:jc w:val="left"/>
            </w:pPr>
            <w:r>
              <w:t xml:space="preserve">225,600</w:t>
            </w:r>
          </w:p>
        </w:tc>
      </w:tr>
      <w:tr>
        <w:tc>
          <w:tcPr/>
          <w:p>
            <w:pPr>
              <w:pStyle w:val="Compact"/>
              <w:jc w:val="left"/>
            </w:pPr>
            <w:r>
              <w:t xml:space="preserve">12</w:t>
            </w:r>
          </w:p>
        </w:tc>
        <w:tc>
          <w:tcPr/>
          <w:p>
            <w:pPr>
              <w:pStyle w:val="Compact"/>
              <w:jc w:val="left"/>
            </w:pPr>
            <w:r>
              <w:t xml:space="preserve">Heat Protectant Spray – 250ml (Hairdresser styling product)</w:t>
            </w:r>
          </w:p>
        </w:tc>
        <w:tc>
          <w:tcPr/>
          <w:p>
            <w:pPr>
              <w:pStyle w:val="Compact"/>
              <w:jc w:val="left"/>
            </w:pPr>
            <w:r>
              <w:t xml:space="preserve">18</w:t>
            </w:r>
          </w:p>
        </w:tc>
        <w:tc>
          <w:tcPr/>
          <w:p>
            <w:pPr>
              <w:pStyle w:val="Compact"/>
              <w:jc w:val="left"/>
            </w:pPr>
            <w:r>
              <w:t xml:space="preserve">bottles</w:t>
            </w:r>
          </w:p>
        </w:tc>
        <w:tc>
          <w:tcPr/>
          <w:p>
            <w:pPr>
              <w:pStyle w:val="Compact"/>
              <w:jc w:val="left"/>
            </w:pPr>
            <w:r>
              <w:t xml:space="preserve">7,200</w:t>
            </w:r>
          </w:p>
        </w:tc>
        <w:tc>
          <w:tcPr/>
          <w:p>
            <w:pPr>
              <w:pStyle w:val="Compact"/>
              <w:jc w:val="left"/>
            </w:pPr>
            <w:r>
              <w:t xml:space="preserve">129,600</w:t>
            </w:r>
          </w:p>
        </w:tc>
      </w:tr>
      <w:tr>
        <w:tc>
          <w:tcPr/>
          <w:p>
            <w:pPr>
              <w:pStyle w:val="Compact"/>
              <w:jc w:val="left"/>
            </w:pPr>
            <w:r>
              <w:t xml:space="preserve">13</w:t>
            </w:r>
          </w:p>
        </w:tc>
        <w:tc>
          <w:tcPr/>
          <w:p>
            <w:pPr>
              <w:pStyle w:val="Compact"/>
              <w:jc w:val="left"/>
            </w:pPr>
            <w:r>
              <w:t xml:space="preserve">Hairdresser Station Chair – Hydraulic, Leather, Black</w:t>
            </w:r>
          </w:p>
        </w:tc>
        <w:tc>
          <w:tcPr/>
          <w:p>
            <w:pPr>
              <w:pStyle w:val="Compact"/>
              <w:jc w:val="left"/>
            </w:pPr>
            <w:r>
              <w:t xml:space="preserve">2</w:t>
            </w:r>
          </w:p>
        </w:tc>
        <w:tc>
          <w:tcPr/>
          <w:p>
            <w:pPr>
              <w:pStyle w:val="Compact"/>
              <w:jc w:val="left"/>
            </w:pPr>
            <w:r>
              <w:t xml:space="preserve">pcs</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14</w:t>
            </w:r>
          </w:p>
        </w:tc>
        <w:tc>
          <w:tcPr/>
          <w:p>
            <w:pPr>
              <w:pStyle w:val="Compact"/>
              <w:jc w:val="left"/>
            </w:pPr>
            <w:r>
              <w:t xml:space="preserve">Wash Basin – Ceramic, Wall-Mounted, with Mixer (Santiago plumbing spec)</w:t>
            </w:r>
          </w:p>
        </w:tc>
        <w:tc>
          <w:tcPr/>
          <w:p>
            <w:pPr>
              <w:pStyle w:val="Compact"/>
              <w:jc w:val="left"/>
            </w:pPr>
            <w:r>
              <w:t xml:space="preserve">2</w:t>
            </w:r>
          </w:p>
        </w:tc>
        <w:tc>
          <w:tcPr/>
          <w:p>
            <w:pPr>
              <w:pStyle w:val="Compact"/>
              <w:jc w:val="left"/>
            </w:pPr>
            <w:r>
              <w:t xml:space="preserve">pcs</w:t>
            </w:r>
          </w:p>
        </w:tc>
        <w:tc>
          <w:tcPr/>
          <w:p>
            <w:pPr>
              <w:pStyle w:val="Compact"/>
              <w:jc w:val="left"/>
            </w:pPr>
            <w:r>
              <w:t xml:space="preserve">145,000</w:t>
            </w:r>
          </w:p>
        </w:tc>
        <w:tc>
          <w:tcPr/>
          <w:p>
            <w:pPr>
              <w:pStyle w:val="Compact"/>
              <w:jc w:val="left"/>
            </w:pPr>
            <w:r>
              <w:t xml:space="preserve">290,000</w:t>
            </w:r>
          </w:p>
        </w:tc>
      </w:tr>
      <w:tr>
        <w:tc>
          <w:tcPr/>
          <w:p>
            <w:pPr>
              <w:pStyle w:val="Compact"/>
              <w:jc w:val="left"/>
            </w:pPr>
            <w:r>
              <w:t xml:space="preserve">15</w:t>
            </w:r>
          </w:p>
        </w:tc>
        <w:tc>
          <w:tcPr/>
          <w:p>
            <w:pPr>
              <w:pStyle w:val="Compact"/>
              <w:jc w:val="left"/>
            </w:pPr>
            <w:r>
              <w:t xml:space="preserve">LED Mirror – 60x80cm, Adjustable, with Magnification</w:t>
            </w:r>
          </w:p>
        </w:tc>
        <w:tc>
          <w:tcPr/>
          <w:p>
            <w:pPr>
              <w:pStyle w:val="Compact"/>
              <w:jc w:val="left"/>
            </w:pPr>
            <w:r>
              <w:t xml:space="preserve">4</w:t>
            </w:r>
          </w:p>
        </w:tc>
        <w:tc>
          <w:tcPr/>
          <w:p>
            <w:pPr>
              <w:pStyle w:val="Compact"/>
              <w:jc w:val="left"/>
            </w:pPr>
            <w:r>
              <w:t xml:space="preserve">pcs</w:t>
            </w:r>
          </w:p>
        </w:tc>
        <w:tc>
          <w:tcPr/>
          <w:p>
            <w:pPr>
              <w:pStyle w:val="Compact"/>
              <w:jc w:val="left"/>
            </w:pPr>
            <w:r>
              <w:t xml:space="preserve">68,500</w:t>
            </w:r>
          </w:p>
        </w:tc>
        <w:tc>
          <w:tcPr/>
          <w:p>
            <w:pPr>
              <w:pStyle w:val="Compact"/>
              <w:jc w:val="left"/>
            </w:pPr>
            <w:r>
              <w:t xml:space="preserve">274,000</w:t>
            </w:r>
          </w:p>
        </w:tc>
      </w:tr>
      <w:tr>
        <w:tc>
          <w:tcPr>
            <w:gridSpan w:val="5"/>
          </w:tcPr>
          <w:p>
            <w:pPr>
              <w:pStyle w:val="Compact"/>
              <w:jc w:val="right"/>
            </w:pPr>
            <w:r>
              <w:t xml:space="preserve">Subtotal (CLP):</w:t>
            </w:r>
          </w:p>
        </w:tc>
        <w:tc>
          <w:tcPr/>
          <w:p>
            <w:pPr>
              <w:pStyle w:val="Compact"/>
              <w:jc w:val="left"/>
            </w:pPr>
            <w:r>
              <w:t xml:space="preserve">3,691,260</w:t>
            </w:r>
          </w:p>
        </w:tc>
      </w:tr>
      <w:tr>
        <w:tc>
          <w:tcPr>
            <w:gridSpan w:val="5"/>
          </w:tcPr>
          <w:p>
            <w:pPr>
              <w:pStyle w:val="Compact"/>
              <w:jc w:val="right"/>
            </w:pPr>
            <w:r>
              <w:t xml:space="preserve">IVA 19% (Chilean VAT):</w:t>
            </w:r>
          </w:p>
        </w:tc>
        <w:tc>
          <w:tcPr/>
          <w:p>
            <w:pPr>
              <w:pStyle w:val="Compact"/>
              <w:jc w:val="left"/>
            </w:pPr>
            <w:r>
              <w:t xml:space="preserve">701,339</w:t>
            </w:r>
          </w:p>
        </w:tc>
      </w:tr>
      <w:tr>
        <w:tc>
          <w:tcPr>
            <w:gridSpan w:val="5"/>
          </w:tcPr>
          <w:p>
            <w:pPr>
              <w:pStyle w:val="Compact"/>
              <w:jc w:val="right"/>
            </w:pPr>
            <w:r>
              <w:t xml:space="preserve">Shipping within Santiago, Chile:</w:t>
            </w:r>
          </w:p>
        </w:tc>
        <w:tc>
          <w:tcPr/>
          <w:p>
            <w:pPr>
              <w:pStyle w:val="Compact"/>
              <w:jc w:val="left"/>
            </w:pPr>
            <w:r>
              <w:t xml:space="preserve">35,000</w:t>
            </w:r>
          </w:p>
        </w:tc>
      </w:tr>
      <w:tr>
        <w:tc>
          <w:tcPr>
            <w:gridSpan w:val="5"/>
          </w:tcPr>
          <w:p>
            <w:pPr>
              <w:pStyle w:val="Compact"/>
              <w:jc w:val="right"/>
            </w:pPr>
            <w:r>
              <w:t xml:space="preserve">TOTAL AMOUNT DUE (CLP):</w:t>
            </w:r>
          </w:p>
        </w:tc>
        <w:tc>
          <w:tcPr/>
          <w:p>
            <w:pPr>
              <w:pStyle w:val="Compact"/>
              <w:jc w:val="left"/>
            </w:pPr>
            <w:r>
              <w:t xml:space="preserve">4,427,599</w:t>
            </w:r>
          </w:p>
        </w:tc>
      </w:tr>
    </w:tbl>
    <w:bookmarkEnd w:id="24"/>
    <w:bookmarkStart w:id="25" w:name="payment-terms-conditions"/>
    <w:p>
      <w:pPr>
        <w:pStyle w:val="Heading3"/>
      </w:pPr>
      <w:r>
        <w:t xml:space="preserve">Payment Terms &amp; Conditions</w:t>
      </w:r>
    </w:p>
    <w:p>
      <w:pPr>
        <w:numPr>
          <w:ilvl w:val="0"/>
          <w:numId w:val="1001"/>
        </w:numPr>
        <w:pStyle w:val="Compact"/>
      </w:pPr>
      <w:r>
        <w:rPr>
          <w:bCs/>
          <w:b/>
        </w:rPr>
        <w:t xml:space="preserve">Payment Method:</w:t>
      </w:r>
      <w:r>
        <w:t xml:space="preserve"> </w:t>
      </w:r>
      <w:r>
        <w:t xml:space="preserve">Bank transfer (Transferencia Bancaria) to the supplier's account at Banco de Chile, Cta. Corriente N° 12345678-9, RUT 78.123.456-7.</w:t>
      </w:r>
    </w:p>
    <w:p>
      <w:pPr>
        <w:numPr>
          <w:ilvl w:val="0"/>
          <w:numId w:val="1001"/>
        </w:numPr>
        <w:pStyle w:val="Compact"/>
      </w:pPr>
      <w:r>
        <w:rPr>
          <w:bCs/>
          <w:b/>
        </w:rPr>
        <w:t xml:space="preserve">Payment Due Date:</w:t>
      </w:r>
      <w:r>
        <w:t xml:space="preserve"> </w:t>
      </w:r>
      <w:r>
        <w:t xml:space="preserve">Net 30 days from the date of this Purchase Order (due by July 12, 2025).</w:t>
      </w:r>
    </w:p>
    <w:p>
      <w:pPr>
        <w:numPr>
          <w:ilvl w:val="0"/>
          <w:numId w:val="1001"/>
        </w:numPr>
        <w:pStyle w:val="Compact"/>
      </w:pPr>
      <w:r>
        <w:rPr>
          <w:bCs/>
          <w:b/>
        </w:rPr>
        <w:t xml:space="preserve">Currency:</w:t>
      </w:r>
      <w:r>
        <w:t xml:space="preserve"> </w:t>
      </w:r>
      <w:r>
        <w:t xml:space="preserve">All amounts are expressed in Chilean Pesos (CLP). No foreign currency conversion applies as this is a domestic transaction within Santiago, Chile.</w:t>
      </w:r>
    </w:p>
    <w:p>
      <w:pPr>
        <w:numPr>
          <w:ilvl w:val="0"/>
          <w:numId w:val="1001"/>
        </w:numPr>
        <w:pStyle w:val="Compact"/>
      </w:pPr>
      <w:r>
        <w:rPr>
          <w:bCs/>
          <w:b/>
        </w:rPr>
        <w:t xml:space="preserve">Invoice Requirement:</w:t>
      </w:r>
      <w:r>
        <w:t xml:space="preserve"> </w:t>
      </w:r>
      <w:r>
        <w:t xml:space="preserve">The supplier must issue a formal</w:t>
      </w:r>
      <w:r>
        <w:t xml:space="preserve"> </w:t>
      </w:r>
      <w:r>
        <w:rPr>
          <w:iCs/>
          <w:i/>
        </w:rPr>
        <w:t xml:space="preserve">Factura</w:t>
      </w:r>
      <w:r>
        <w:t xml:space="preserve"> </w:t>
      </w:r>
      <w:r>
        <w:t xml:space="preserve">or</w:t>
      </w:r>
      <w:r>
        <w:t xml:space="preserve"> </w:t>
      </w:r>
      <w:r>
        <w:rPr>
          <w:iCs/>
          <w:i/>
        </w:rPr>
        <w:t xml:space="preserve">Boleta</w:t>
      </w:r>
      <w:r>
        <w:t xml:space="preserve"> </w:t>
      </w:r>
      <w:r>
        <w:t xml:space="preserve">in accordance with the Chilean SII (Servicio de Impuestos Internos) regulations. The document must reference this Purchase Order number PO-2025-0847.</w:t>
      </w:r>
    </w:p>
    <w:p>
      <w:pPr>
        <w:numPr>
          <w:ilvl w:val="0"/>
          <w:numId w:val="1001"/>
        </w:numPr>
        <w:pStyle w:val="Compact"/>
      </w:pPr>
      <w:r>
        <w:rPr>
          <w:bCs/>
          <w:b/>
        </w:rPr>
        <w:t xml:space="preserve">Warranty:</w:t>
      </w:r>
      <w:r>
        <w:t xml:space="preserve"> </w:t>
      </w:r>
      <w:r>
        <w:t xml:space="preserve">All electrical equipment (hairdryers, flat irons, curling irons) carries a minimum 12-month manufacturer warranty valid in Chile. Professional scissors and shears carry a 6-month workmanship warranty.</w:t>
      </w:r>
    </w:p>
    <w:p>
      <w:pPr>
        <w:numPr>
          <w:ilvl w:val="0"/>
          <w:numId w:val="1001"/>
        </w:numPr>
        <w:pStyle w:val="Compact"/>
      </w:pPr>
      <w:r>
        <w:rPr>
          <w:bCs/>
          <w:b/>
        </w:rPr>
        <w:t xml:space="preserve">Quality Assurance:</w:t>
      </w:r>
      <w:r>
        <w:t xml:space="preserve"> </w:t>
      </w:r>
      <w:r>
        <w:t xml:space="preserve">All hairdresser products must be in their original sealed packaging. Any damaged, expired, or counterfeit items will be rejected upon delivery at the Santiago, Chile receiving address, and the supplier must replace them within 5 business days at no additional cost.</w:t>
      </w:r>
    </w:p>
    <w:p>
      <w:pPr>
        <w:numPr>
          <w:ilvl w:val="0"/>
          <w:numId w:val="1001"/>
        </w:numPr>
        <w:pStyle w:val="Compact"/>
      </w:pPr>
      <w:r>
        <w:rPr>
          <w:bCs/>
          <w:b/>
        </w:rPr>
        <w:t xml:space="preserve">Delivery Terms:</w:t>
      </w:r>
      <w:r>
        <w:t xml:space="preserve"> </w:t>
      </w:r>
      <w:r>
        <w:t xml:space="preserve">Delivery is DDP (Delivered Duty Paid) to the specified address in Providencia, Santiago, Chile. The supplier bears all risk of loss until the goods are received and signed for by the designated receiving contact.</w:t>
      </w:r>
    </w:p>
    <w:p>
      <w:pPr>
        <w:numPr>
          <w:ilvl w:val="0"/>
          <w:numId w:val="1001"/>
        </w:numPr>
        <w:pStyle w:val="Compact"/>
      </w:pPr>
      <w:r>
        <w:rPr>
          <w:bCs/>
          <w:b/>
        </w:rPr>
        <w:t xml:space="preserve">Partial Deliveries:</w:t>
      </w:r>
      <w:r>
        <w:t xml:space="preserve"> </w:t>
      </w:r>
      <w:r>
        <w:t xml:space="preserve">Partial deliveries are not permitted. The entire Purchase Order must be fulfilled in a single shipment to the Hairdresser studio location in Santiago.</w:t>
      </w:r>
    </w:p>
    <w:p>
      <w:pPr>
        <w:numPr>
          <w:ilvl w:val="0"/>
          <w:numId w:val="1001"/>
        </w:numPr>
        <w:pStyle w:val="Compact"/>
      </w:pPr>
      <w:r>
        <w:rPr>
          <w:bCs/>
          <w:b/>
        </w:rPr>
        <w:t xml:space="preserve">Dispute Resolution:</w:t>
      </w:r>
      <w:r>
        <w:t xml:space="preserve"> </w:t>
      </w:r>
      <w:r>
        <w:t xml:space="preserve">Any disputes arising from this Purchase Order shall be resolved under the commercial laws of the Republic of Chile, with jurisdiction in the courts of Santiago Metropolitan Region.</w:t>
      </w:r>
    </w:p>
    <w:p>
      <w:pPr>
        <w:numPr>
          <w:ilvl w:val="0"/>
          <w:numId w:val="1001"/>
        </w:numPr>
        <w:pStyle w:val="Compact"/>
      </w:pPr>
      <w:r>
        <w:rPr>
          <w:bCs/>
          <w:b/>
        </w:rPr>
        <w:t xml:space="preserve">Validity:</w:t>
      </w:r>
      <w:r>
        <w:t xml:space="preserve"> </w:t>
      </w:r>
      <w:r>
        <w:t xml:space="preserve">This Purchase Order is valid for 30 calendar days from the issue date. If the supplier cannot confirm availability of all items within 5 business days, this order may be cancelled without penalty.</w:t>
      </w:r>
    </w:p>
    <w:bookmarkEnd w:id="25"/>
    <w:bookmarkStart w:id="26" w:name="authorized-signatures"/>
    <w:p>
      <w:pPr>
        <w:pStyle w:val="Heading3"/>
      </w:pPr>
      <w:r>
        <w:t xml:space="preserve">Authorized Signatures</w:t>
      </w:r>
    </w:p>
    <w:p>
      <w:pPr>
        <w:pStyle w:val="FirstParagraph"/>
      </w:pPr>
      <w:r>
        <w:rPr>
          <w:bCs/>
          <w:b/>
        </w:rPr>
        <w:t xml:space="preserve">Prepared by (Buyer):</w:t>
      </w:r>
      <w:r>
        <w:br/>
      </w:r>
      <w:r>
        <w:t xml:space="preserve">Matías Herrera</w:t>
      </w:r>
      <w:r>
        <w:br/>
      </w:r>
      <w:r>
        <w:t xml:space="preserve">Operations Manager</w:t>
      </w:r>
      <w:r>
        <w:br/>
      </w:r>
      <w:r>
        <w:t xml:space="preserve">Estudio Capilar Santiago (Hairdresser)</w:t>
      </w:r>
      <w:r>
        <w:br/>
      </w:r>
      <w:r>
        <w:t xml:space="preserve">Date: _______________</w:t>
      </w:r>
    </w:p>
    <w:p>
      <w:pPr>
        <w:pStyle w:val="BodyText"/>
      </w:pPr>
      <w:r>
        <w:rPr>
          <w:bCs/>
          <w:b/>
        </w:rPr>
        <w:t xml:space="preserve">Approved by (Supplier):</w:t>
      </w:r>
      <w:r>
        <w:br/>
      </w:r>
      <w:r>
        <w:t xml:space="preserve">Carolina Fuentes</w:t>
      </w:r>
      <w:r>
        <w:br/>
      </w:r>
      <w:r>
        <w:t xml:space="preserve">Account Manager</w:t>
      </w:r>
      <w:r>
        <w:br/>
      </w:r>
      <w:r>
        <w:t xml:space="preserve">Distribuidora Profesional de Productos Capilares SpA</w:t>
      </w:r>
      <w:r>
        <w:br/>
      </w:r>
      <w:r>
        <w:t xml:space="preserve">Date: _______________</w:t>
      </w:r>
    </w:p>
    <w:bookmarkEnd w:id="26"/>
    <w:p>
      <w:pPr>
        <w:pStyle w:val="BodyText"/>
      </w:pPr>
      <w:r>
        <w:t xml:space="preserve">This Purchase Order was issued by Estudio Capilar Santiago, a registered Hairdresser and beauty services establishment located in Santiago, Chile. All transactions are governed by Chilean commercial law. This document is valid only when signed by both parties and accompanied by the corresponding SII-compliant tax documentation. PO-2025-0847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Supply - Santiago, Chile</dc:title>
  <dc:creator/>
  <dc:language>en</dc:language>
  <cp:keywords/>
  <dcterms:created xsi:type="dcterms:W3CDTF">2026-10-10T07:09:05Z</dcterms:created>
  <dcterms:modified xsi:type="dcterms:W3CDTF">2026-10-10T07:09:05Z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