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Supply</w:t>
      </w:r>
      <w:r>
        <w:t xml:space="preserve"> </w:t>
      </w:r>
      <w:r>
        <w:t xml:space="preserve">-</w:t>
      </w:r>
      <w:r>
        <w:t xml:space="preserve"> </w:t>
      </w:r>
      <w:r>
        <w:t xml:space="preserve">Tehran,</w:t>
      </w:r>
      <w:r>
        <w:t xml:space="preserve"> </w:t>
      </w:r>
      <w:r>
        <w:t xml:space="preserve">Iran</w:t>
      </w:r>
    </w:p>
    <w:p>
      <w:pPr>
        <w:pStyle w:val="FirstParagraph"/>
      </w:pPr>
      <w:r>
        <w:t xml:space="preserve">PURCHASE ORDER</w:t>
      </w:r>
    </w:p>
    <w:bookmarkStart w:id="20" w:name="purchase-order"/>
    <w:p>
      <w:pPr>
        <w:pStyle w:val="Heading1"/>
      </w:pPr>
      <w:r>
        <w:t xml:space="preserve">PURCHASE ORDER</w:t>
      </w:r>
    </w:p>
    <w:p>
      <w:pPr>
        <w:pStyle w:val="FirstParagraph"/>
      </w:pPr>
      <w:r>
        <w:t xml:space="preserve">Hairdresser Professional Supply &amp; Equipment Procurement — Tehran, Iran</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PO-THR-2025-00472</w:t>
            </w:r>
          </w:p>
        </w:tc>
        <w:tc>
          <w:tcPr/>
          <w:p>
            <w:pPr>
              <w:pStyle w:val="Compact"/>
              <w:jc w:val="left"/>
            </w:pPr>
            <w:r>
              <w:t xml:space="preserve">Date of Issue:</w:t>
            </w:r>
          </w:p>
        </w:tc>
        <w:tc>
          <w:tcPr/>
          <w:p>
            <w:pPr>
              <w:pStyle w:val="Compact"/>
              <w:jc w:val="left"/>
            </w:pPr>
            <w:r>
              <w:t xml:space="preserve">15 Farvardin 1404 (April 5, 2025)</w:t>
            </w:r>
          </w:p>
        </w:tc>
      </w:tr>
      <w:tr>
        <w:tc>
          <w:tcPr/>
          <w:p>
            <w:pPr>
              <w:pStyle w:val="Compact"/>
              <w:jc w:val="left"/>
            </w:pPr>
            <w:r>
              <w:t xml:space="preserve">Buyer (Hairdresser Business):</w:t>
            </w:r>
          </w:p>
        </w:tc>
        <w:tc>
          <w:tcPr/>
          <w:p>
            <w:pPr>
              <w:pStyle w:val="Compact"/>
              <w:jc w:val="left"/>
            </w:pPr>
            <w:r>
              <w:t xml:space="preserve">Salon-e Ghashang — Premium Hairdresser Studio</w:t>
            </w:r>
          </w:p>
        </w:tc>
        <w:tc>
          <w:tcPr/>
          <w:p>
            <w:pPr>
              <w:pStyle w:val="Compact"/>
              <w:jc w:val="left"/>
            </w:pPr>
            <w:r>
              <w:t xml:space="preserve">Buyer Address:</w:t>
            </w:r>
          </w:p>
        </w:tc>
        <w:tc>
          <w:tcPr/>
          <w:p>
            <w:pPr>
              <w:pStyle w:val="Compact"/>
              <w:jc w:val="left"/>
            </w:pPr>
            <w:r>
              <w:t xml:space="preserve">No. 42, Vali-Asr Street, 11th District, Tehran, Iran</w:t>
            </w:r>
          </w:p>
        </w:tc>
      </w:tr>
      <w:tr>
        <w:tc>
          <w:tcPr/>
          <w:p>
            <w:pPr>
              <w:pStyle w:val="Compact"/>
              <w:jc w:val="left"/>
            </w:pPr>
            <w:r>
              <w:t xml:space="preserve">Buyer Contact:</w:t>
            </w:r>
          </w:p>
        </w:tc>
        <w:tc>
          <w:tcPr/>
          <w:p>
            <w:pPr>
              <w:pStyle w:val="Compact"/>
              <w:jc w:val="left"/>
            </w:pPr>
            <w:r>
              <w:t xml:space="preserve">Mr. Amir Hosseini — +98-21-8876-5432</w:t>
            </w:r>
          </w:p>
        </w:tc>
        <w:tc>
          <w:tcPr/>
          <w:p>
            <w:pPr>
              <w:pStyle w:val="Compact"/>
              <w:jc w:val="left"/>
            </w:pPr>
            <w:r>
              <w:t xml:space="preserve">Buyer Tax ID (Kod-e Melli):</w:t>
            </w:r>
          </w:p>
        </w:tc>
        <w:tc>
          <w:tcPr/>
          <w:p>
            <w:pPr>
              <w:pStyle w:val="Compact"/>
              <w:jc w:val="left"/>
            </w:pPr>
            <w:r>
              <w:t xml:space="preserve">1024587631</w:t>
            </w:r>
          </w:p>
        </w:tc>
      </w:tr>
      <w:tr>
        <w:tc>
          <w:tcPr/>
          <w:p>
            <w:pPr>
              <w:pStyle w:val="Compact"/>
              <w:jc w:val="left"/>
            </w:pPr>
            <w:r>
              <w:t xml:space="preserve">Supplier:</w:t>
            </w:r>
          </w:p>
        </w:tc>
        <w:tc>
          <w:tcPr/>
          <w:p>
            <w:pPr>
              <w:pStyle w:val="Compact"/>
              <w:jc w:val="left"/>
            </w:pPr>
            <w:r>
              <w:t xml:space="preserve">Pars Beauty Equipment Co., Ltd.</w:t>
            </w:r>
          </w:p>
        </w:tc>
        <w:tc>
          <w:tcPr/>
          <w:p>
            <w:pPr>
              <w:pStyle w:val="Compact"/>
              <w:jc w:val="left"/>
            </w:pPr>
            <w:r>
              <w:t xml:space="preserve">Supplier Address:</w:t>
            </w:r>
          </w:p>
        </w:tc>
        <w:tc>
          <w:tcPr/>
          <w:p>
            <w:pPr>
              <w:pStyle w:val="Compact"/>
              <w:jc w:val="left"/>
            </w:pPr>
            <w:r>
              <w:t xml:space="preserve">Industrial Zone 3, Tehran, Iran</w:t>
            </w:r>
          </w:p>
        </w:tc>
      </w:tr>
      <w:tr>
        <w:tc>
          <w:tcPr/>
          <w:p>
            <w:pPr>
              <w:pStyle w:val="Compact"/>
              <w:jc w:val="left"/>
            </w:pPr>
            <w:r>
              <w:t xml:space="preserve">Supplier Contact:</w:t>
            </w:r>
          </w:p>
        </w:tc>
        <w:tc>
          <w:tcPr/>
          <w:p>
            <w:pPr>
              <w:pStyle w:val="Compact"/>
              <w:jc w:val="left"/>
            </w:pPr>
            <w:r>
              <w:t xml:space="preserve">Ms. Fatemeh Rahimi — +98-21-4455-6677</w:t>
            </w:r>
          </w:p>
        </w:tc>
        <w:tc>
          <w:tcPr/>
          <w:p>
            <w:pPr>
              <w:pStyle w:val="Compact"/>
              <w:jc w:val="left"/>
            </w:pPr>
            <w:r>
              <w:t xml:space="preserve">Supplier Tax ID:</w:t>
            </w:r>
          </w:p>
        </w:tc>
        <w:tc>
          <w:tcPr/>
          <w:p>
            <w:pPr>
              <w:pStyle w:val="Compact"/>
              <w:jc w:val="left"/>
            </w:pPr>
            <w:r>
              <w:t xml:space="preserve">1098765432</w:t>
            </w:r>
          </w:p>
        </w:tc>
      </w:tr>
      <w:tr>
        <w:tc>
          <w:tcPr/>
          <w:p>
            <w:pPr>
              <w:pStyle w:val="Compact"/>
              <w:jc w:val="left"/>
            </w:pPr>
            <w:r>
              <w:t xml:space="preserve">Delivery Location:</w:t>
            </w:r>
          </w:p>
        </w:tc>
        <w:tc>
          <w:tcPr>
            <w:gridSpan w:val="3"/>
          </w:tcPr>
          <w:p>
            <w:pPr>
              <w:pStyle w:val="Compact"/>
              <w:jc w:val="left"/>
            </w:pPr>
            <w:r>
              <w:t xml:space="preserve">Salon-e Ghashang Hairdresser Studio, Vali-Asr Street, Tehran, Iran (GPS: 35.7402° N, 51.3739° E)</w:t>
            </w:r>
          </w:p>
        </w:tc>
      </w:tr>
      <w:tr>
        <w:tc>
          <w:tcPr/>
          <w:p>
            <w:pPr>
              <w:pStyle w:val="Compact"/>
              <w:jc w:val="left"/>
            </w:pPr>
            <w:r>
              <w:t xml:space="preserve">Delivery Deadline:</w:t>
            </w:r>
          </w:p>
        </w:tc>
        <w:tc>
          <w:tcPr/>
          <w:p>
            <w:pPr>
              <w:pStyle w:val="Compact"/>
              <w:jc w:val="left"/>
            </w:pPr>
            <w:r>
              <w:t xml:space="preserve">25 Farvardin 1404 (April 15, 2025)</w:t>
            </w:r>
          </w:p>
        </w:tc>
        <w:tc>
          <w:tcPr/>
          <w:p>
            <w:pPr>
              <w:pStyle w:val="Compact"/>
              <w:jc w:val="left"/>
            </w:pPr>
            <w:r>
              <w:t xml:space="preserve">Payment Terms:</w:t>
            </w:r>
          </w:p>
        </w:tc>
        <w:tc>
          <w:tcPr/>
          <w:p>
            <w:pPr>
              <w:pStyle w:val="Compact"/>
              <w:jc w:val="left"/>
            </w:pPr>
            <w:r>
              <w:t xml:space="preserve">50% advance, 50% upon delivery confirmation</w:t>
            </w:r>
          </w:p>
        </w:tc>
      </w:tr>
    </w:tbl>
    <w:bookmarkStart w:id="21" w:name="purpose-of-this-purchase-order"/>
    <w:p>
      <w:pPr>
        <w:pStyle w:val="Heading2"/>
      </w:pPr>
      <w:r>
        <w:t xml:space="preserve">1. Purpose of This Purchase Order</w:t>
      </w:r>
    </w:p>
    <w:p>
      <w:pPr>
        <w:pStyle w:val="FirstParagraph"/>
      </w:pPr>
      <w:r>
        <w:t xml:space="preserve">This Purchase Order is formally issued by</w:t>
      </w:r>
      <w:r>
        <w:t xml:space="preserve"> </w:t>
      </w:r>
      <w:r>
        <w:rPr>
          <w:bCs/>
          <w:b/>
        </w:rPr>
        <w:t xml:space="preserve">Salon-e Ghashang</w:t>
      </w:r>
      <w:r>
        <w:t xml:space="preserve">, a registered hairdresser and beauty salon operating in the heart of Tehran, Iran, to procure professional-grade hairdressing equipment, styling tools, and consumable supplies. This procurement is essential to equip our newly renovated hairdresser studio on Vali-Asr Street with the latest professional tools required to serve the diverse clientele of Tehran's 11th District. The hairdresser services offered at our establishment include precision cutting, chemical coloring, keratin treatments, scalp therapy, and advanced styling, all of which demand high-quality, certified equipment sourced from reputable suppliers within Iran.</w:t>
      </w:r>
    </w:p>
    <w:bookmarkEnd w:id="21"/>
    <w:bookmarkStart w:id="22" w:name="itemized-purchase-order-details"/>
    <w:p>
      <w:pPr>
        <w:pStyle w:val="Heading2"/>
      </w:pPr>
      <w:r>
        <w:t xml:space="preserve">2.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Brand</w:t>
            </w:r>
          </w:p>
        </w:tc>
        <w:tc>
          <w:tcPr/>
          <w:p>
            <w:pPr>
              <w:pStyle w:val="Compact"/>
              <w:jc w:val="left"/>
            </w:pPr>
            <w:r>
              <w:t xml:space="preserve">Qty</w:t>
            </w:r>
          </w:p>
        </w:tc>
        <w:tc>
          <w:tcPr/>
          <w:p>
            <w:pPr>
              <w:pStyle w:val="Compact"/>
              <w:jc w:val="left"/>
            </w:pPr>
            <w:r>
              <w:t xml:space="preserve">Unit Price (IRR)</w:t>
            </w:r>
          </w:p>
        </w:tc>
        <w:tc>
          <w:tcPr/>
          <w:p>
            <w:pPr>
              <w:pStyle w:val="Compact"/>
              <w:jc w:val="left"/>
            </w:pPr>
            <w:r>
              <w:t xml:space="preserve">Subtotal (IRR)</w:t>
            </w:r>
          </w:p>
        </w:tc>
      </w:tr>
      <w:tr>
        <w:tc>
          <w:tcPr/>
          <w:p>
            <w:pPr>
              <w:pStyle w:val="Compact"/>
              <w:jc w:val="left"/>
            </w:pPr>
            <w:r>
              <w:t xml:space="preserve">01</w:t>
            </w:r>
          </w:p>
        </w:tc>
        <w:tc>
          <w:tcPr/>
          <w:p>
            <w:pPr>
              <w:pStyle w:val="Compact"/>
              <w:jc w:val="left"/>
            </w:pPr>
            <w:r>
              <w:t xml:space="preserve">Professional Hairdryer (Ionic, 2200W)</w:t>
            </w:r>
          </w:p>
        </w:tc>
        <w:tc>
          <w:tcPr/>
          <w:p>
            <w:pPr>
              <w:pStyle w:val="Compact"/>
              <w:jc w:val="left"/>
            </w:pPr>
            <w:r>
              <w:t xml:space="preserve">Parlux AL 5000 — Made in Italy, imported to Tehran</w:t>
            </w:r>
          </w:p>
        </w:tc>
        <w:tc>
          <w:tcPr/>
          <w:p>
            <w:pPr>
              <w:pStyle w:val="Compact"/>
              <w:jc w:val="left"/>
            </w:pPr>
            <w:r>
              <w:t xml:space="preserve">4</w:t>
            </w:r>
          </w:p>
        </w:tc>
        <w:tc>
          <w:tcPr/>
          <w:p>
            <w:pPr>
              <w:pStyle w:val="Compact"/>
              <w:jc w:val="left"/>
            </w:pPr>
            <w:r>
              <w:t xml:space="preserve">8,500,000</w:t>
            </w:r>
          </w:p>
        </w:tc>
        <w:tc>
          <w:tcPr/>
          <w:p>
            <w:pPr>
              <w:pStyle w:val="Compact"/>
              <w:jc w:val="left"/>
            </w:pPr>
            <w:r>
              <w:t xml:space="preserve">34,000,000</w:t>
            </w:r>
          </w:p>
        </w:tc>
      </w:tr>
      <w:tr>
        <w:tc>
          <w:tcPr/>
          <w:p>
            <w:pPr>
              <w:pStyle w:val="Compact"/>
              <w:jc w:val="left"/>
            </w:pPr>
            <w:r>
              <w:t xml:space="preserve">02</w:t>
            </w:r>
          </w:p>
        </w:tc>
        <w:tc>
          <w:tcPr/>
          <w:p>
            <w:pPr>
              <w:pStyle w:val="Compact"/>
              <w:jc w:val="left"/>
            </w:pPr>
            <w:r>
              <w:t xml:space="preserve">Ceramic Flat Iron (1-inch, 230°C max)</w:t>
            </w:r>
          </w:p>
        </w:tc>
        <w:tc>
          <w:tcPr/>
          <w:p>
            <w:pPr>
              <w:pStyle w:val="Compact"/>
              <w:jc w:val="left"/>
            </w:pPr>
            <w:r>
              <w:t xml:space="preserve">GHD Platinum+ — Authorized Tehran distributor</w:t>
            </w:r>
          </w:p>
        </w:tc>
        <w:tc>
          <w:tcPr/>
          <w:p>
            <w:pPr>
              <w:pStyle w:val="Compact"/>
              <w:jc w:val="left"/>
            </w:pPr>
            <w:r>
              <w:t xml:space="preserve">3</w:t>
            </w:r>
          </w:p>
        </w:tc>
        <w:tc>
          <w:tcPr/>
          <w:p>
            <w:pPr>
              <w:pStyle w:val="Compact"/>
              <w:jc w:val="left"/>
            </w:pPr>
            <w:r>
              <w:t xml:space="preserve">12,200,000</w:t>
            </w:r>
          </w:p>
        </w:tc>
        <w:tc>
          <w:tcPr/>
          <w:p>
            <w:pPr>
              <w:pStyle w:val="Compact"/>
              <w:jc w:val="left"/>
            </w:pPr>
            <w:r>
              <w:t xml:space="preserve">36,600,000</w:t>
            </w:r>
          </w:p>
        </w:tc>
      </w:tr>
      <w:tr>
        <w:tc>
          <w:tcPr/>
          <w:p>
            <w:pPr>
              <w:pStyle w:val="Compact"/>
              <w:jc w:val="left"/>
            </w:pPr>
            <w:r>
              <w:t xml:space="preserve">03</w:t>
            </w:r>
          </w:p>
        </w:tc>
        <w:tc>
          <w:tcPr/>
          <w:p>
            <w:pPr>
              <w:pStyle w:val="Compact"/>
              <w:jc w:val="left"/>
            </w:pPr>
            <w:r>
              <w:t xml:space="preserve">Professional Hair Cutting Scissors Set (6-inch, 7-inch)</w:t>
            </w:r>
          </w:p>
        </w:tc>
        <w:tc>
          <w:tcPr/>
          <w:p>
            <w:pPr>
              <w:pStyle w:val="Compact"/>
              <w:jc w:val="left"/>
            </w:pPr>
            <w:r>
              <w:t xml:space="preserve">Yasugi 2100 Series — Japanese steel</w:t>
            </w:r>
          </w:p>
        </w:tc>
        <w:tc>
          <w:tcPr/>
          <w:p>
            <w:pPr>
              <w:pStyle w:val="Compact"/>
              <w:jc w:val="left"/>
            </w:pPr>
            <w:r>
              <w:t xml:space="preserve">6</w:t>
            </w:r>
          </w:p>
        </w:tc>
        <w:tc>
          <w:tcPr/>
          <w:p>
            <w:pPr>
              <w:pStyle w:val="Compact"/>
              <w:jc w:val="left"/>
            </w:pPr>
            <w:r>
              <w:t xml:space="preserve">4,800,000</w:t>
            </w:r>
          </w:p>
        </w:tc>
        <w:tc>
          <w:tcPr/>
          <w:p>
            <w:pPr>
              <w:pStyle w:val="Compact"/>
              <w:jc w:val="left"/>
            </w:pPr>
            <w:r>
              <w:t xml:space="preserve">28,800,000</w:t>
            </w:r>
          </w:p>
        </w:tc>
      </w:tr>
      <w:tr>
        <w:tc>
          <w:tcPr/>
          <w:p>
            <w:pPr>
              <w:pStyle w:val="Compact"/>
              <w:jc w:val="left"/>
            </w:pPr>
            <w:r>
              <w:t xml:space="preserve">04</w:t>
            </w:r>
          </w:p>
        </w:tc>
        <w:tc>
          <w:tcPr/>
          <w:p>
            <w:pPr>
              <w:pStyle w:val="Compact"/>
              <w:jc w:val="left"/>
            </w:pPr>
            <w:r>
              <w:t xml:space="preserve">Hydraulic Hairdresser Chair (Leather, Gold Frame)</w:t>
            </w:r>
          </w:p>
        </w:tc>
        <w:tc>
          <w:tcPr/>
          <w:p>
            <w:pPr>
              <w:pStyle w:val="Compact"/>
              <w:jc w:val="left"/>
            </w:pPr>
            <w:r>
              <w:t xml:space="preserve">Iranian-made — Tehran Furniture Workshop</w:t>
            </w:r>
          </w:p>
        </w:tc>
        <w:tc>
          <w:tcPr/>
          <w:p>
            <w:pPr>
              <w:pStyle w:val="Compact"/>
              <w:jc w:val="left"/>
            </w:pPr>
            <w:r>
              <w:t xml:space="preserve">5</w:t>
            </w:r>
          </w:p>
        </w:tc>
        <w:tc>
          <w:tcPr/>
          <w:p>
            <w:pPr>
              <w:pStyle w:val="Compact"/>
              <w:jc w:val="left"/>
            </w:pPr>
            <w:r>
              <w:t xml:space="preserve">18,500,000</w:t>
            </w:r>
          </w:p>
        </w:tc>
        <w:tc>
          <w:tcPr/>
          <w:p>
            <w:pPr>
              <w:pStyle w:val="Compact"/>
              <w:jc w:val="left"/>
            </w:pPr>
            <w:r>
              <w:t xml:space="preserve">92,500,000</w:t>
            </w:r>
          </w:p>
        </w:tc>
      </w:tr>
      <w:tr>
        <w:tc>
          <w:tcPr/>
          <w:p>
            <w:pPr>
              <w:pStyle w:val="Compact"/>
              <w:jc w:val="left"/>
            </w:pPr>
            <w:r>
              <w:t xml:space="preserve">05</w:t>
            </w:r>
          </w:p>
        </w:tc>
        <w:tc>
          <w:tcPr/>
          <w:p>
            <w:pPr>
              <w:pStyle w:val="Compact"/>
              <w:jc w:val="left"/>
            </w:pPr>
            <w:r>
              <w:t xml:space="preserve">Backwash Station with Ceramic Basin</w:t>
            </w:r>
          </w:p>
        </w:tc>
        <w:tc>
          <w:tcPr/>
          <w:p>
            <w:pPr>
              <w:pStyle w:val="Compact"/>
              <w:jc w:val="left"/>
            </w:pPr>
            <w:r>
              <w:t xml:space="preserve">Stainless Steel 304 — Tehran Industrial Supply</w:t>
            </w:r>
          </w:p>
        </w:tc>
        <w:tc>
          <w:tcPr/>
          <w:p>
            <w:pPr>
              <w:pStyle w:val="Compact"/>
              <w:jc w:val="left"/>
            </w:pPr>
            <w:r>
              <w:t xml:space="preserve">3</w:t>
            </w:r>
          </w:p>
        </w:tc>
        <w:tc>
          <w:tcPr/>
          <w:p>
            <w:pPr>
              <w:pStyle w:val="Compact"/>
              <w:jc w:val="left"/>
            </w:pPr>
            <w:r>
              <w:t xml:space="preserve">22,000,000</w:t>
            </w:r>
          </w:p>
        </w:tc>
        <w:tc>
          <w:tcPr/>
          <w:p>
            <w:pPr>
              <w:pStyle w:val="Compact"/>
              <w:jc w:val="left"/>
            </w:pPr>
            <w:r>
              <w:t xml:space="preserve">66,000,000</w:t>
            </w:r>
          </w:p>
        </w:tc>
      </w:tr>
      <w:tr>
        <w:tc>
          <w:tcPr/>
          <w:p>
            <w:pPr>
              <w:pStyle w:val="Compact"/>
              <w:jc w:val="left"/>
            </w:pPr>
            <w:r>
              <w:t xml:space="preserve">06</w:t>
            </w:r>
          </w:p>
        </w:tc>
        <w:tc>
          <w:tcPr/>
          <w:p>
            <w:pPr>
              <w:pStyle w:val="Compact"/>
              <w:jc w:val="left"/>
            </w:pPr>
            <w:r>
              <w:t xml:space="preserve">Ammonia-Free Hair Color Kit (24 shades)</w:t>
            </w:r>
          </w:p>
        </w:tc>
        <w:tc>
          <w:tcPr/>
          <w:p>
            <w:pPr>
              <w:pStyle w:val="Compact"/>
              <w:jc w:val="left"/>
            </w:pPr>
            <w:r>
              <w:t xml:space="preserve">Wella Koleston Perfect — Tehran Beauty Import</w:t>
            </w:r>
          </w:p>
        </w:tc>
        <w:tc>
          <w:tcPr/>
          <w:p>
            <w:pPr>
              <w:pStyle w:val="Compact"/>
              <w:jc w:val="left"/>
            </w:pPr>
            <w:r>
              <w:t xml:space="preserve">12</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07</w:t>
            </w:r>
          </w:p>
        </w:tc>
        <w:tc>
          <w:tcPr/>
          <w:p>
            <w:pPr>
              <w:pStyle w:val="Compact"/>
              <w:jc w:val="left"/>
            </w:pPr>
            <w:r>
              <w:t xml:space="preserve">Keratin Treatment Solution (500ml)</w:t>
            </w:r>
          </w:p>
        </w:tc>
        <w:tc>
          <w:tcPr/>
          <w:p>
            <w:pPr>
              <w:pStyle w:val="Compact"/>
              <w:jc w:val="left"/>
            </w:pPr>
            <w:r>
              <w:t xml:space="preserve">Global Keratin — Certified for Iran market</w:t>
            </w:r>
          </w:p>
        </w:tc>
        <w:tc>
          <w:tcPr/>
          <w:p>
            <w:pPr>
              <w:pStyle w:val="Compact"/>
              <w:jc w:val="left"/>
            </w:pPr>
            <w:r>
              <w:t xml:space="preserve">8</w:t>
            </w:r>
          </w:p>
        </w:tc>
        <w:tc>
          <w:tcPr/>
          <w:p>
            <w:pPr>
              <w:pStyle w:val="Compact"/>
              <w:jc w:val="left"/>
            </w:pPr>
            <w:r>
              <w:t xml:space="preserve">5,600,000</w:t>
            </w:r>
          </w:p>
        </w:tc>
        <w:tc>
          <w:tcPr/>
          <w:p>
            <w:pPr>
              <w:pStyle w:val="Compact"/>
              <w:jc w:val="left"/>
            </w:pPr>
            <w:r>
              <w:t xml:space="preserve">44,800,000</w:t>
            </w:r>
          </w:p>
        </w:tc>
      </w:tr>
      <w:tr>
        <w:tc>
          <w:tcPr/>
          <w:p>
            <w:pPr>
              <w:pStyle w:val="Compact"/>
              <w:jc w:val="left"/>
            </w:pPr>
            <w:r>
              <w:t xml:space="preserve">08</w:t>
            </w:r>
          </w:p>
        </w:tc>
        <w:tc>
          <w:tcPr/>
          <w:p>
            <w:pPr>
              <w:pStyle w:val="Compact"/>
              <w:jc w:val="left"/>
            </w:pPr>
            <w:r>
              <w:t xml:space="preserve">Professional Styling Comb &amp; Brush Set</w:t>
            </w:r>
          </w:p>
        </w:tc>
        <w:tc>
          <w:tcPr/>
          <w:p>
            <w:pPr>
              <w:pStyle w:val="Compact"/>
              <w:jc w:val="left"/>
            </w:pPr>
            <w:r>
              <w:t xml:space="preserve">Wahl Professional — 12-piece set</w:t>
            </w:r>
          </w:p>
        </w:tc>
        <w:tc>
          <w:tcPr/>
          <w:p>
            <w:pPr>
              <w:pStyle w:val="Compact"/>
              <w:jc w:val="left"/>
            </w:pPr>
            <w:r>
              <w:t xml:space="preserve">10</w:t>
            </w:r>
          </w:p>
        </w:tc>
        <w:tc>
          <w:tcPr/>
          <w:p>
            <w:pPr>
              <w:pStyle w:val="Compact"/>
              <w:jc w:val="left"/>
            </w:pPr>
            <w:r>
              <w:t xml:space="preserve">1,400,000</w:t>
            </w:r>
          </w:p>
        </w:tc>
        <w:tc>
          <w:tcPr/>
          <w:p>
            <w:pPr>
              <w:pStyle w:val="Compact"/>
              <w:jc w:val="left"/>
            </w:pPr>
            <w:r>
              <w:t xml:space="preserve">14,000,000</w:t>
            </w:r>
          </w:p>
        </w:tc>
      </w:tr>
      <w:tr>
        <w:tc>
          <w:tcPr/>
          <w:p>
            <w:pPr>
              <w:pStyle w:val="Compact"/>
              <w:jc w:val="left"/>
            </w:pPr>
            <w:r>
              <w:t xml:space="preserve">09</w:t>
            </w:r>
          </w:p>
        </w:tc>
        <w:tc>
          <w:tcPr/>
          <w:p>
            <w:pPr>
              <w:pStyle w:val="Compact"/>
              <w:jc w:val="left"/>
            </w:pPr>
            <w:r>
              <w:t xml:space="preserve">UV Sterilizer Cabinet for Hairdresser Tools</w:t>
            </w:r>
          </w:p>
        </w:tc>
        <w:tc>
          <w:tcPr/>
          <w:p>
            <w:pPr>
              <w:pStyle w:val="Compact"/>
              <w:jc w:val="left"/>
            </w:pPr>
            <w:r>
              <w:t xml:space="preserve">Iranian-made — Tehran Medical Equipment Co.</w:t>
            </w:r>
          </w:p>
        </w:tc>
        <w:tc>
          <w:tcPr/>
          <w:p>
            <w:pPr>
              <w:pStyle w:val="Compact"/>
              <w:jc w:val="left"/>
            </w:pPr>
            <w:r>
              <w:t xml:space="preserve">2</w:t>
            </w:r>
          </w:p>
        </w:tc>
        <w:tc>
          <w:tcPr/>
          <w:p>
            <w:pPr>
              <w:pStyle w:val="Compact"/>
              <w:jc w:val="left"/>
            </w:pPr>
            <w:r>
              <w:t xml:space="preserve">7,800,000</w:t>
            </w:r>
          </w:p>
        </w:tc>
        <w:tc>
          <w:tcPr/>
          <w:p>
            <w:pPr>
              <w:pStyle w:val="Compact"/>
              <w:jc w:val="left"/>
            </w:pPr>
            <w:r>
              <w:t xml:space="preserve">15,600,000</w:t>
            </w:r>
          </w:p>
        </w:tc>
      </w:tr>
      <w:tr>
        <w:tc>
          <w:tcPr/>
          <w:p>
            <w:pPr>
              <w:pStyle w:val="Compact"/>
              <w:jc w:val="left"/>
            </w:pPr>
            <w:r>
              <w:t xml:space="preserve">10</w:t>
            </w:r>
          </w:p>
        </w:tc>
        <w:tc>
          <w:tcPr/>
          <w:p>
            <w:pPr>
              <w:pStyle w:val="Compact"/>
              <w:jc w:val="left"/>
            </w:pPr>
            <w:r>
              <w:t xml:space="preserve">Disposable Hairdresser Capes &amp; Towels (Bulk)</w:t>
            </w:r>
          </w:p>
        </w:tc>
        <w:tc>
          <w:tcPr/>
          <w:p>
            <w:pPr>
              <w:pStyle w:val="Compact"/>
              <w:jc w:val="left"/>
            </w:pPr>
            <w:r>
              <w:t xml:space="preserve">Standard grade — Tehran Textile Supply</w:t>
            </w:r>
          </w:p>
        </w:tc>
        <w:tc>
          <w:tcPr/>
          <w:p>
            <w:pPr>
              <w:pStyle w:val="Compact"/>
              <w:jc w:val="left"/>
            </w:pPr>
            <w:r>
              <w:t xml:space="preserve">200</w:t>
            </w:r>
          </w:p>
        </w:tc>
        <w:tc>
          <w:tcPr/>
          <w:p>
            <w:pPr>
              <w:pStyle w:val="Compact"/>
              <w:jc w:val="left"/>
            </w:pPr>
            <w:r>
              <w:t xml:space="preserve">180,000</w:t>
            </w:r>
          </w:p>
        </w:tc>
        <w:tc>
          <w:tcPr/>
          <w:p>
            <w:pPr>
              <w:pStyle w:val="Compact"/>
              <w:jc w:val="left"/>
            </w:pPr>
            <w:r>
              <w:t xml:space="preserve">36,000,000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Items)</w:t>
            </w:r>
          </w:p>
        </w:tc>
        <w:tc>
          <w:tcPr/>
          <w:p>
            <w:pPr>
              <w:pStyle w:val="Compact"/>
              <w:jc w:val="left"/>
            </w:pPr>
            <w:r>
              <w:t xml:space="preserve">406,700,000 IRR</w:t>
            </w:r>
          </w:p>
        </w:tc>
      </w:tr>
      <w:tr>
        <w:tc>
          <w:tcPr/>
          <w:p>
            <w:pPr>
              <w:pStyle w:val="Compact"/>
              <w:jc w:val="left"/>
            </w:pPr>
            <w:r>
              <w:t xml:space="preserve">VAT (9% — Iranian Tax Authority)</w:t>
            </w:r>
          </w:p>
        </w:tc>
        <w:tc>
          <w:tcPr/>
          <w:p>
            <w:pPr>
              <w:pStyle w:val="Compact"/>
              <w:jc w:val="left"/>
            </w:pPr>
            <w:r>
              <w:t xml:space="preserve">36,603,000 IRR</w:t>
            </w:r>
          </w:p>
        </w:tc>
      </w:tr>
      <w:tr>
        <w:tc>
          <w:tcPr/>
          <w:p>
            <w:pPr>
              <w:pStyle w:val="Compact"/>
              <w:jc w:val="left"/>
            </w:pPr>
            <w:r>
              <w:t xml:space="preserve">Delivery &amp; Installation (within Tehran city)</w:t>
            </w:r>
          </w:p>
        </w:tc>
        <w:tc>
          <w:tcPr/>
          <w:p>
            <w:pPr>
              <w:pStyle w:val="Compact"/>
              <w:jc w:val="left"/>
            </w:pPr>
            <w:r>
              <w:t xml:space="preserve">8,500,000 IRR</w:t>
            </w:r>
          </w:p>
        </w:tc>
      </w:tr>
      <w:tr>
        <w:tc>
          <w:tcPr/>
          <w:p>
            <w:pPr>
              <w:pStyle w:val="Compact"/>
              <w:jc w:val="left"/>
            </w:pPr>
            <w:r>
              <w:t xml:space="preserve">TOTAL AMOUNT DUE</w:t>
            </w:r>
          </w:p>
        </w:tc>
        <w:tc>
          <w:tcPr/>
          <w:p>
            <w:pPr>
              <w:pStyle w:val="Compact"/>
              <w:jc w:val="left"/>
            </w:pPr>
            <w:r>
              <w:t xml:space="preserve">451,803,000 IRR</w:t>
            </w:r>
          </w:p>
        </w:tc>
      </w:tr>
    </w:tbl>
    <w:bookmarkEnd w:id="22"/>
    <w:bookmarkStart w:id="23" w:name="Xde1b1aa910af0d218dd23eb59edb0f3a99f22fc"/>
    <w:p>
      <w:pPr>
        <w:pStyle w:val="Heading2"/>
      </w:pPr>
      <w:r>
        <w:t xml:space="preserve">3. Terms and Conditions of This Purchase Order</w:t>
      </w:r>
    </w:p>
    <w:p>
      <w:pPr>
        <w:numPr>
          <w:ilvl w:val="0"/>
          <w:numId w:val="1001"/>
        </w:numPr>
        <w:pStyle w:val="Compact"/>
      </w:pPr>
      <w:r>
        <w:rPr>
          <w:bCs/>
          <w:b/>
        </w:rPr>
        <w:t xml:space="preserve">Validity:</w:t>
      </w:r>
      <w:r>
        <w:t xml:space="preserve"> </w:t>
      </w:r>
      <w:r>
        <w:t xml:space="preserve">This Purchase Order is valid for thirty (30) calendar days from the date of issue. The supplier, Pars Beauty Equipment Co., Ltd., must confirm acceptance in writing within five (5) business days to proceed with the hairdresser equipment procurement.</w:t>
      </w:r>
    </w:p>
    <w:p>
      <w:pPr>
        <w:numPr>
          <w:ilvl w:val="0"/>
          <w:numId w:val="1001"/>
        </w:numPr>
        <w:pStyle w:val="Compact"/>
      </w:pPr>
      <w:r>
        <w:rPr>
          <w:bCs/>
          <w:b/>
        </w:rPr>
        <w:t xml:space="preserve">Payment Schedule:</w:t>
      </w:r>
      <w:r>
        <w:t xml:space="preserve"> </w:t>
      </w:r>
      <w:r>
        <w:t xml:space="preserve">A 50% advance payment (225,901,500 IRR) shall be transferred via bank wire to the supplier's registered account at Bank Melli, Tehran branch, within three (3) business days of mutual acceptance. The remaining 50% balance shall be settled within seven (7) days of confirmed delivery and installation at the hairdresser studio premises in Tehran.</w:t>
      </w:r>
    </w:p>
    <w:p>
      <w:pPr>
        <w:numPr>
          <w:ilvl w:val="0"/>
          <w:numId w:val="1001"/>
        </w:numPr>
        <w:pStyle w:val="Compact"/>
      </w:pPr>
      <w:r>
        <w:rPr>
          <w:bCs/>
          <w:b/>
        </w:rPr>
        <w:t xml:space="preserve">Delivery and Installation:</w:t>
      </w:r>
      <w:r>
        <w:t xml:space="preserve"> </w:t>
      </w:r>
      <w:r>
        <w:t xml:space="preserve">All items listed in this Purchase Order must be delivered to the hairdresser studio address in Tehran, Iran, no later than the stated delivery deadline. The supplier is responsible for safe transport, proper installation of hydraulic chairs and backwash stations, and calibration of all electrical hairdressing equipment to meet Iranian electrical standards (220V/50Hz).</w:t>
      </w:r>
    </w:p>
    <w:p>
      <w:pPr>
        <w:numPr>
          <w:ilvl w:val="0"/>
          <w:numId w:val="1001"/>
        </w:numPr>
        <w:pStyle w:val="Compact"/>
      </w:pPr>
      <w:r>
        <w:rPr>
          <w:bCs/>
          <w:b/>
        </w:rPr>
        <w:t xml:space="preserve">Quality Assurance:</w:t>
      </w:r>
      <w:r>
        <w:t xml:space="preserve"> </w:t>
      </w:r>
      <w:r>
        <w:t xml:space="preserve">All professional hairdresser tools and equipment must be new, unused, and accompanied by valid manufacturer warranties. Imported items (hairdryers, flat irons, scissors, color kits) must include original packaging, authenticity certificates, and compliance documentation approved by the Iran Food and Drug Administration (IFDA) where applicable.</w:t>
      </w:r>
    </w:p>
    <w:p>
      <w:pPr>
        <w:numPr>
          <w:ilvl w:val="0"/>
          <w:numId w:val="1001"/>
        </w:numPr>
        <w:pStyle w:val="Compact"/>
      </w:pPr>
      <w:r>
        <w:rPr>
          <w:bCs/>
          <w:b/>
        </w:rPr>
        <w:t xml:space="preserve">Warranty:</w:t>
      </w:r>
      <w:r>
        <w:t xml:space="preserve"> </w:t>
      </w:r>
      <w:r>
        <w:t xml:space="preserve">The supplier guarantees a minimum twelve (12) month warranty on all electrical hairdressing equipment and twenty-four (24) months on hydraulic chairs and backwash stations. Warranty service must be available within Tehran city limits with a maximum response time of forty-eight (48) hours.</w:t>
      </w:r>
    </w:p>
    <w:p>
      <w:pPr>
        <w:numPr>
          <w:ilvl w:val="0"/>
          <w:numId w:val="1001"/>
        </w:numPr>
        <w:pStyle w:val="Compact"/>
      </w:pPr>
      <w:r>
        <w:rPr>
          <w:bCs/>
          <w:b/>
        </w:rPr>
        <w:t xml:space="preserve">Compliance with Iranian Regulations:</w:t>
      </w:r>
      <w:r>
        <w:t xml:space="preserve"> </w:t>
      </w:r>
      <w:r>
        <w:t xml:space="preserve">This Purchase Order and all transactions herein shall comply with the Commercial Code of the Islamic Republic of Iran, the Consumer Protection Law, and all applicable tax regulations enforced by the Iranian National Tax Administration. All invoices must be issued in accordance with Iranian accounting standards.</w:t>
      </w:r>
    </w:p>
    <w:p>
      <w:pPr>
        <w:numPr>
          <w:ilvl w:val="0"/>
          <w:numId w:val="1001"/>
        </w:numPr>
        <w:pStyle w:val="Compact"/>
      </w:pPr>
      <w:r>
        <w:rPr>
          <w:bCs/>
          <w:b/>
        </w:rPr>
        <w:t xml:space="preserve">Dispute Resolution:</w:t>
      </w:r>
      <w:r>
        <w:t xml:space="preserve"> </w:t>
      </w:r>
      <w:r>
        <w:t xml:space="preserve">Any disputes arising from this Purchase Order related to the hairdresser supply procurement shall be resolved through negotiation first, followed by arbitration under the Tehran Arbitration Center if amicable resolution is not achieved within fifteen (15) days.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affecting import logistics into Iran, or nationwide supply chain disruptions within Tehran.</w:t>
      </w:r>
    </w:p>
    <w:bookmarkEnd w:id="23"/>
    <w:bookmarkStart w:id="24" w:name="authorization-and-signatures"/>
    <w:p>
      <w:pPr>
        <w:pStyle w:val="Heading2"/>
      </w:pPr>
      <w:r>
        <w:t xml:space="preserve">4. Authorization and Signatures</w:t>
      </w:r>
    </w:p>
    <w:p>
      <w:pPr>
        <w:pStyle w:val="FirstParagraph"/>
      </w:pPr>
      <w:r>
        <w:rPr>
          <w:bCs/>
          <w:b/>
        </w:rPr>
        <w:t xml:space="preserve">Prepared by (Buyer):</w:t>
      </w:r>
    </w:p>
    <w:p>
      <w:pPr>
        <w:pStyle w:val="BodyText"/>
      </w:pPr>
      <w:r>
        <w:t xml:space="preserve">Salon-e Ghashang Hairdresser Studio</w:t>
      </w:r>
      <w:r>
        <w:br/>
      </w:r>
      <w:r>
        <w:t xml:space="preserve">Tehran, Iran</w:t>
      </w:r>
    </w:p>
    <w:p>
      <w:pPr>
        <w:pStyle w:val="BodyText"/>
      </w:pPr>
      <w:r>
        <w:t xml:space="preserve">Mr. Amir Hosseini</w:t>
      </w:r>
      <w:r>
        <w:br/>
      </w:r>
      <w:r>
        <w:t xml:space="preserve">Owner &amp; Lead Hairdresser</w:t>
      </w:r>
      <w:r>
        <w:br/>
      </w:r>
      <w:r>
        <w:t xml:space="preserve">Signature &amp; Company Seal</w:t>
      </w:r>
    </w:p>
    <w:p>
      <w:pPr>
        <w:pStyle w:val="BodyText"/>
      </w:pPr>
      <w:r>
        <w:rPr>
          <w:bCs/>
          <w:b/>
        </w:rPr>
        <w:t xml:space="preserve">Accepted by (Supplier):</w:t>
      </w:r>
    </w:p>
    <w:p>
      <w:pPr>
        <w:pStyle w:val="BodyText"/>
      </w:pPr>
      <w:r>
        <w:t xml:space="preserve">Pars Beauty Equipment Co., Ltd.</w:t>
      </w:r>
      <w:r>
        <w:br/>
      </w:r>
      <w:r>
        <w:t xml:space="preserve">Tehran, Iran</w:t>
      </w:r>
    </w:p>
    <w:p>
      <w:pPr>
        <w:pStyle w:val="BodyText"/>
      </w:pPr>
      <w:r>
        <w:t xml:space="preserve">Ms. Fatemeh Rahimi</w:t>
      </w:r>
      <w:r>
        <w:br/>
      </w:r>
      <w:r>
        <w:t xml:space="preserve">Sales Director</w:t>
      </w:r>
      <w:r>
        <w:br/>
      </w:r>
      <w:r>
        <w:t xml:space="preserve">Signature &amp; Company Seal</w:t>
      </w:r>
    </w:p>
    <w:p>
      <w:pPr>
        <w:pStyle w:val="BodyText"/>
      </w:pPr>
      <w:r>
        <w:rPr>
          <w:bCs/>
          <w:b/>
        </w:rPr>
        <w:t xml:space="preserve">Important Note:</w:t>
      </w:r>
      <w:r>
        <w:t xml:space="preserve"> </w:t>
      </w:r>
      <w:r>
        <w:t xml:space="preserve">This Purchase Order document is generated for the hairdresser business operations of Salon-e Ghashang located in Tehran, Iran. All monetary values are expressed in Iranian Rials (IRR). This document constitutes a legally binding procurement agreement upon mutual signature and stamp. For any amendments to this Purchase Order, a written addendum signed by both parties is required. The supplier acknowledges that all equipment procured under this order is intended exclusively for professional hairdresser use within a licensed salon establishment in the city of Tehran, Islamic Republic of Iran.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Supply - Tehran, Iran</dc:title>
  <dc:creator/>
  <dc:language>en</dc:language>
  <cp:keywords/>
  <dcterms:created xsi:type="dcterms:W3CDTF">2026-10-10T01:59:59Z</dcterms:created>
  <dcterms:modified xsi:type="dcterms:W3CDTF">2026-10-10T01:59:59Z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