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Supplies</w:t>
      </w:r>
      <w:r>
        <w:t xml:space="preserve"> </w:t>
      </w:r>
      <w:r>
        <w:t xml:space="preserve">-</w:t>
      </w:r>
      <w:r>
        <w:t xml:space="preserve"> </w:t>
      </w:r>
      <w:r>
        <w:t xml:space="preserve">Israel</w:t>
      </w:r>
      <w:r>
        <w:t xml:space="preserve"> </w:t>
      </w:r>
      <w:r>
        <w:t xml:space="preserve">Jerusalem</w:t>
      </w:r>
    </w:p>
    <w:bookmarkStart w:id="20" w:name="purchase-order"/>
    <w:p>
      <w:pPr>
        <w:pStyle w:val="Heading1"/>
      </w:pPr>
      <w:r>
        <w:t xml:space="preserve">PURCHASE ORDER</w:t>
      </w:r>
    </w:p>
    <w:p>
      <w:pPr>
        <w:pStyle w:val="FirstParagraph"/>
      </w:pPr>
      <w:r>
        <w:t xml:space="preserve">Hairdresser Professional Supplies &amp; Equipment</w:t>
      </w:r>
    </w:p>
    <w:p>
      <w:pPr>
        <w:pStyle w:val="BodyText"/>
      </w:pPr>
      <w:r>
        <w:t xml:space="preserve">Israel Jerusalem – Central District</w:t>
      </w:r>
    </w:p>
    <w:bookmarkEnd w:id="20"/>
    <w:p>
      <w:pPr>
        <w:pStyle w:val="BodyText"/>
      </w:pPr>
      <w:r>
        <w:rPr>
          <w:bCs/>
          <w:b/>
        </w:rPr>
        <w:t xml:space="preserve">Purchase Order No.:</w:t>
      </w:r>
      <w:r>
        <w:t xml:space="preserve"> </w:t>
      </w:r>
      <w:r>
        <w:t xml:space="preserve">PO-JER-2025-0487</w:t>
      </w:r>
      <w:r>
        <w:br/>
      </w:r>
      <w:r>
        <w:rPr>
          <w:bCs/>
          <w:b/>
        </w:rPr>
        <w:t xml:space="preserve">Date of Issue:</w:t>
      </w:r>
      <w:r>
        <w:t xml:space="preserve"> </w:t>
      </w:r>
      <w:r>
        <w:t xml:space="preserve">14 June 2025</w:t>
      </w:r>
    </w:p>
    <w:p>
      <w:pPr>
        <w:pStyle w:val="BodyText"/>
      </w:pPr>
      <w:r>
        <w:rPr>
          <w:bCs/>
          <w:b/>
        </w:rPr>
        <w:t xml:space="preserve">Buyer (Hairdresser):</w:t>
      </w:r>
      <w:r>
        <w:br/>
      </w:r>
      <w:r>
        <w:t xml:space="preserve">Salon "Crown of Zion" Hairdresser</w:t>
      </w:r>
      <w:r>
        <w:br/>
      </w:r>
      <w:r>
        <w:t xml:space="preserve">42 King George Street, Jerusalem, Israel</w:t>
      </w:r>
      <w:r>
        <w:br/>
      </w:r>
      <w:r>
        <w:t xml:space="preserve">VAT No. 51-204-887-33</w:t>
      </w:r>
      <w:r>
        <w:br/>
      </w:r>
      <w:r>
        <w:t xml:space="preserve">Tel: +972-2-625-4410</w:t>
      </w:r>
    </w:p>
    <w:p>
      <w:pPr>
        <w:pStyle w:val="BodyText"/>
      </w:pPr>
      <w:r>
        <w:rPr>
          <w:bCs/>
          <w:b/>
        </w:rPr>
        <w:t xml:space="preserve">Supplier / Vendor:</w:t>
      </w:r>
      <w:r>
        <w:br/>
      </w:r>
      <w:r>
        <w:t xml:space="preserve">ProStyle Israel Ltd.</w:t>
      </w:r>
      <w:r>
        <w:br/>
      </w:r>
      <w:r>
        <w:t xml:space="preserve">18 HaYarkon Industrial Zone, Tel Aviv</w:t>
      </w:r>
      <w:r>
        <w:br/>
      </w:r>
      <w:r>
        <w:t xml:space="preserve">VAT No. 51-773-221-09</w:t>
      </w:r>
      <w:r>
        <w:br/>
      </w:r>
      <w:r>
        <w:t xml:space="preserve">Tel: +972-3-640-7788</w:t>
      </w:r>
    </w:p>
    <w:p>
      <w:pPr>
        <w:pStyle w:val="BodyText"/>
      </w:pPr>
      <w:r>
        <w:rPr>
          <w:bCs/>
          <w:b/>
        </w:rPr>
        <w:t xml:space="preserve">Delivery Location:</w:t>
      </w:r>
      <w:r>
        <w:br/>
      </w:r>
      <w:r>
        <w:t xml:space="preserve">Israel Jerusalem</w:t>
      </w:r>
      <w:r>
        <w:br/>
      </w:r>
      <w:r>
        <w:t xml:space="preserve">42 King George Street</w:t>
      </w:r>
      <w:r>
        <w:br/>
      </w:r>
      <w:r>
        <w:t xml:space="preserve">Jerusalem 91120, Israel</w:t>
      </w:r>
      <w:r>
        <w:br/>
      </w:r>
      <w:r>
        <w:t xml:space="preserve">Delivery Window: 09:00–14:00</w:t>
      </w:r>
    </w:p>
    <w:p>
      <w:pPr>
        <w:pStyle w:val="BodyText"/>
      </w:pPr>
      <w:r>
        <w:t xml:space="preserve">Line Items – Hairdresser Equipment &amp; Consumables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Line Total (ILS)</w:t>
            </w:r>
          </w:p>
        </w:tc>
      </w:tr>
      <w:tr>
        <w:tc>
          <w:tcPr/>
          <w:p>
            <w:pPr>
              <w:pStyle w:val="Compact"/>
              <w:jc w:val="left"/>
            </w:pPr>
            <w:r>
              <w:t xml:space="preserve">1</w:t>
            </w:r>
          </w:p>
        </w:tc>
        <w:tc>
          <w:tcPr/>
          <w:p>
            <w:pPr>
              <w:pStyle w:val="Compact"/>
              <w:jc w:val="left"/>
            </w:pPr>
            <w:r>
              <w:t xml:space="preserve">Professional Hairdryer – Ionic, 2400W (Wella Pro Series)</w:t>
            </w:r>
          </w:p>
        </w:tc>
        <w:tc>
          <w:tcPr/>
          <w:p>
            <w:pPr>
              <w:pStyle w:val="Compact"/>
              <w:jc w:val="left"/>
            </w:pPr>
            <w:r>
              <w:t xml:space="preserve">4</w:t>
            </w:r>
          </w:p>
        </w:tc>
        <w:tc>
          <w:tcPr/>
          <w:p>
            <w:pPr>
              <w:pStyle w:val="Compact"/>
              <w:jc w:val="left"/>
            </w:pPr>
            <w:r>
              <w:t xml:space="preserve">pcs</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2</w:t>
            </w:r>
          </w:p>
        </w:tc>
        <w:tc>
          <w:tcPr/>
          <w:p>
            <w:pPr>
              <w:pStyle w:val="Compact"/>
              <w:jc w:val="left"/>
            </w:pPr>
            <w:r>
              <w:t xml:space="preserve">Ceramic Flat Iron – 230°C, 22mm Plate (GHD Platinum+)</w:t>
            </w:r>
          </w:p>
        </w:tc>
        <w:tc>
          <w:tcPr/>
          <w:p>
            <w:pPr>
              <w:pStyle w:val="Compact"/>
              <w:jc w:val="left"/>
            </w:pPr>
            <w:r>
              <w:t xml:space="preserve">3</w:t>
            </w:r>
          </w:p>
        </w:tc>
        <w:tc>
          <w:tcPr/>
          <w:p>
            <w:pPr>
              <w:pStyle w:val="Compact"/>
              <w:jc w:val="left"/>
            </w:pPr>
            <w:r>
              <w:t xml:space="preserve">pcs</w:t>
            </w:r>
          </w:p>
        </w:tc>
        <w:tc>
          <w:tcPr/>
          <w:p>
            <w:pPr>
              <w:pStyle w:val="Compact"/>
              <w:jc w:val="left"/>
            </w:pPr>
            <w:r>
              <w:t xml:space="preserve">2,200.00</w:t>
            </w:r>
          </w:p>
        </w:tc>
        <w:tc>
          <w:tcPr/>
          <w:p>
            <w:pPr>
              <w:pStyle w:val="Compact"/>
              <w:jc w:val="left"/>
            </w:pPr>
            <w:r>
              <w:t xml:space="preserve">6,600.00</w:t>
            </w:r>
          </w:p>
        </w:tc>
      </w:tr>
      <w:tr>
        <w:tc>
          <w:tcPr/>
          <w:p>
            <w:pPr>
              <w:pStyle w:val="Compact"/>
              <w:jc w:val="left"/>
            </w:pPr>
            <w:r>
              <w:t xml:space="preserve">3</w:t>
            </w:r>
          </w:p>
        </w:tc>
        <w:tc>
          <w:tcPr/>
          <w:p>
            <w:pPr>
              <w:pStyle w:val="Compact"/>
              <w:jc w:val="left"/>
            </w:pPr>
            <w:r>
              <w:t xml:space="preserve">Professional Hairdresser Chair – Hydraulic, Leather, Chrome Base</w:t>
            </w:r>
          </w:p>
        </w:tc>
        <w:tc>
          <w:tcPr/>
          <w:p>
            <w:pPr>
              <w:pStyle w:val="Compact"/>
              <w:jc w:val="left"/>
            </w:pPr>
            <w:r>
              <w:t xml:space="preserve">2</w:t>
            </w:r>
          </w:p>
        </w:tc>
        <w:tc>
          <w:tcPr/>
          <w:p>
            <w:pPr>
              <w:pStyle w:val="Compact"/>
              <w:jc w:val="left"/>
            </w:pPr>
            <w:r>
              <w:t xml:space="preserve">pcs</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4</w:t>
            </w:r>
          </w:p>
        </w:tc>
        <w:tc>
          <w:tcPr/>
          <w:p>
            <w:pPr>
              <w:pStyle w:val="Compact"/>
              <w:jc w:val="left"/>
            </w:pPr>
            <w:r>
              <w:t xml:space="preserve">Styling Station Mirror – 60x80cm, LED Backlit, Wall-Mounted</w:t>
            </w:r>
          </w:p>
        </w:tc>
        <w:tc>
          <w:tcPr/>
          <w:p>
            <w:pPr>
              <w:pStyle w:val="Compact"/>
              <w:jc w:val="left"/>
            </w:pPr>
            <w:r>
              <w:t xml:space="preserve">2</w:t>
            </w:r>
          </w:p>
        </w:tc>
        <w:tc>
          <w:tcPr/>
          <w:p>
            <w:pPr>
              <w:pStyle w:val="Compact"/>
              <w:jc w:val="left"/>
            </w:pPr>
            <w:r>
              <w:t xml:space="preserve">pcs</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5</w:t>
            </w:r>
          </w:p>
        </w:tc>
        <w:tc>
          <w:tcPr/>
          <w:p>
            <w:pPr>
              <w:pStyle w:val="Compact"/>
              <w:jc w:val="left"/>
            </w:pPr>
            <w:r>
              <w:t xml:space="preserve">Professional Scissors Set – 6" &amp; 7" Japanese Steel (Kasho)</w:t>
            </w:r>
          </w:p>
        </w:tc>
        <w:tc>
          <w:tcPr/>
          <w:p>
            <w:pPr>
              <w:pStyle w:val="Compact"/>
              <w:jc w:val="left"/>
            </w:pPr>
            <w:r>
              <w:t xml:space="preserve">5</w:t>
            </w:r>
          </w:p>
        </w:tc>
        <w:tc>
          <w:tcPr/>
          <w:p>
            <w:pPr>
              <w:pStyle w:val="Compact"/>
              <w:jc w:val="left"/>
            </w:pPr>
            <w:r>
              <w:t xml:space="preserve">sets</w:t>
            </w:r>
          </w:p>
        </w:tc>
        <w:tc>
          <w:tcPr/>
          <w:p>
            <w:pPr>
              <w:pStyle w:val="Compact"/>
              <w:jc w:val="left"/>
            </w:pPr>
            <w:r>
              <w:t xml:space="preserve">1,100.00</w:t>
            </w:r>
          </w:p>
        </w:tc>
        <w:tc>
          <w:tcPr/>
          <w:p>
            <w:pPr>
              <w:pStyle w:val="Compact"/>
              <w:jc w:val="left"/>
            </w:pPr>
            <w:r>
              <w:t xml:space="preserve">5,500.00</w:t>
            </w:r>
          </w:p>
        </w:tc>
      </w:tr>
      <w:tr>
        <w:tc>
          <w:tcPr/>
          <w:p>
            <w:pPr>
              <w:pStyle w:val="Compact"/>
              <w:jc w:val="left"/>
            </w:pPr>
            <w:r>
              <w:t xml:space="preserve">6</w:t>
            </w:r>
          </w:p>
        </w:tc>
        <w:tc>
          <w:tcPr/>
          <w:p>
            <w:pPr>
              <w:pStyle w:val="Compact"/>
              <w:jc w:val="left"/>
            </w:pPr>
            <w:r>
              <w:t xml:space="preserve">Ammonia-Free Hair Color Kit – 12 Shades (L'Oréal Professionnel)</w:t>
            </w:r>
          </w:p>
        </w:tc>
        <w:tc>
          <w:tcPr/>
          <w:p>
            <w:pPr>
              <w:pStyle w:val="Compact"/>
              <w:jc w:val="left"/>
            </w:pPr>
            <w:r>
              <w:t xml:space="preserve">24</w:t>
            </w:r>
          </w:p>
        </w:tc>
        <w:tc>
          <w:tcPr/>
          <w:p>
            <w:pPr>
              <w:pStyle w:val="Compact"/>
              <w:jc w:val="left"/>
            </w:pPr>
            <w:r>
              <w:t xml:space="preserve">boxes</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7</w:t>
            </w:r>
          </w:p>
        </w:tc>
        <w:tc>
          <w:tcPr/>
          <w:p>
            <w:pPr>
              <w:pStyle w:val="Compact"/>
              <w:jc w:val="left"/>
            </w:pPr>
            <w:r>
              <w:t xml:space="preserve">Professional Shampoo &amp; Conditioner – 1L Bottles (Kérastase)</w:t>
            </w:r>
          </w:p>
        </w:tc>
        <w:tc>
          <w:tcPr/>
          <w:p>
            <w:pPr>
              <w:pStyle w:val="Compact"/>
              <w:jc w:val="left"/>
            </w:pPr>
            <w:r>
              <w:t xml:space="preserve">30</w:t>
            </w:r>
          </w:p>
        </w:tc>
        <w:tc>
          <w:tcPr/>
          <w:p>
            <w:pPr>
              <w:pStyle w:val="Compact"/>
              <w:jc w:val="left"/>
            </w:pPr>
            <w:r>
              <w:t xml:space="preserve">bottles</w:t>
            </w:r>
          </w:p>
        </w:tc>
        <w:tc>
          <w:tcPr/>
          <w:p>
            <w:pPr>
              <w:pStyle w:val="Compact"/>
              <w:jc w:val="left"/>
            </w:pPr>
            <w:r>
              <w:t xml:space="preserve">320.00</w:t>
            </w:r>
          </w:p>
        </w:tc>
        <w:tc>
          <w:tcPr/>
          <w:p>
            <w:pPr>
              <w:pStyle w:val="Compact"/>
              <w:jc w:val="left"/>
            </w:pPr>
            <w:r>
              <w:t xml:space="preserve">9,600.00</w:t>
            </w:r>
          </w:p>
        </w:tc>
      </w:tr>
      <w:tr>
        <w:tc>
          <w:tcPr/>
          <w:p>
            <w:pPr>
              <w:pStyle w:val="Compact"/>
              <w:jc w:val="left"/>
            </w:pPr>
            <w:r>
              <w:t xml:space="preserve">8</w:t>
            </w:r>
          </w:p>
        </w:tc>
        <w:tc>
          <w:tcPr/>
          <w:p>
            <w:pPr>
              <w:pStyle w:val="Compact"/>
              <w:jc w:val="left"/>
            </w:pPr>
            <w:r>
              <w:t xml:space="preserve">Heat Protectant Spray – 250ml (Moroccanoil)</w:t>
            </w:r>
          </w:p>
        </w:tc>
        <w:tc>
          <w:tcPr/>
          <w:p>
            <w:pPr>
              <w:pStyle w:val="Compact"/>
              <w:jc w:val="left"/>
            </w:pPr>
            <w:r>
              <w:t xml:space="preserve">12</w:t>
            </w:r>
          </w:p>
        </w:tc>
        <w:tc>
          <w:tcPr/>
          <w:p>
            <w:pPr>
              <w:pStyle w:val="Compact"/>
              <w:jc w:val="left"/>
            </w:pPr>
            <w:r>
              <w:t xml:space="preserve">bottles</w:t>
            </w:r>
          </w:p>
        </w:tc>
        <w:tc>
          <w:tcPr/>
          <w:p>
            <w:pPr>
              <w:pStyle w:val="Compact"/>
              <w:jc w:val="left"/>
            </w:pPr>
            <w:r>
              <w:t xml:space="preserve">210.00</w:t>
            </w:r>
          </w:p>
        </w:tc>
        <w:tc>
          <w:tcPr/>
          <w:p>
            <w:pPr>
              <w:pStyle w:val="Compact"/>
              <w:jc w:val="left"/>
            </w:pPr>
            <w:r>
              <w:t xml:space="preserve">2,520.00</w:t>
            </w:r>
          </w:p>
        </w:tc>
      </w:tr>
      <w:tr>
        <w:tc>
          <w:tcPr/>
          <w:p>
            <w:pPr>
              <w:pStyle w:val="Compact"/>
              <w:jc w:val="left"/>
            </w:pPr>
            <w:r>
              <w:t xml:space="preserve">9</w:t>
            </w:r>
          </w:p>
        </w:tc>
        <w:tc>
          <w:tcPr/>
          <w:p>
            <w:pPr>
              <w:pStyle w:val="Compact"/>
              <w:jc w:val="left"/>
            </w:pPr>
            <w:r>
              <w:t xml:space="preserve">Wash Basin – Ceramic, 60cm, with Mixer Tap (Salon Pro)</w:t>
            </w:r>
          </w:p>
        </w:tc>
        <w:tc>
          <w:tcPr/>
          <w:p>
            <w:pPr>
              <w:pStyle w:val="Compact"/>
              <w:jc w:val="left"/>
            </w:pPr>
            <w:r>
              <w:t xml:space="preserve">2</w:t>
            </w:r>
          </w:p>
        </w:tc>
        <w:tc>
          <w:tcPr/>
          <w:p>
            <w:pPr>
              <w:pStyle w:val="Compact"/>
              <w:jc w:val="left"/>
            </w:pPr>
            <w:r>
              <w:t xml:space="preserve">pcs</w:t>
            </w:r>
          </w:p>
        </w:tc>
        <w:tc>
          <w:tcPr/>
          <w:p>
            <w:pPr>
              <w:pStyle w:val="Compact"/>
              <w:jc w:val="left"/>
            </w:pPr>
            <w:r>
              <w:t xml:space="preserve">3,800.00</w:t>
            </w:r>
          </w:p>
        </w:tc>
        <w:tc>
          <w:tcPr/>
          <w:p>
            <w:pPr>
              <w:pStyle w:val="Compact"/>
              <w:jc w:val="left"/>
            </w:pPr>
            <w:r>
              <w:t xml:space="preserve">7,600.00</w:t>
            </w:r>
          </w:p>
        </w:tc>
      </w:tr>
      <w:tr>
        <w:tc>
          <w:tcPr/>
          <w:p>
            <w:pPr>
              <w:pStyle w:val="Compact"/>
              <w:jc w:val="left"/>
            </w:pPr>
            <w:r>
              <w:t xml:space="preserve">10</w:t>
            </w:r>
          </w:p>
        </w:tc>
        <w:tc>
          <w:tcPr/>
          <w:p>
            <w:pPr>
              <w:pStyle w:val="Compact"/>
              <w:jc w:val="left"/>
            </w:pPr>
            <w:r>
              <w:t xml:space="preserve">Disposable Hairdresser Capes – 100-pack, Waterproof</w:t>
            </w:r>
          </w:p>
        </w:tc>
        <w:tc>
          <w:tcPr/>
          <w:p>
            <w:pPr>
              <w:pStyle w:val="Compact"/>
              <w:jc w:val="left"/>
            </w:pPr>
            <w:r>
              <w:t xml:space="preserve">6</w:t>
            </w:r>
          </w:p>
        </w:tc>
        <w:tc>
          <w:tcPr/>
          <w:p>
            <w:pPr>
              <w:pStyle w:val="Compact"/>
              <w:jc w:val="left"/>
            </w:pPr>
            <w:r>
              <w:t xml:space="preserve">packs</w:t>
            </w:r>
          </w:p>
        </w:tc>
        <w:tc>
          <w:tcPr/>
          <w:p>
            <w:pPr>
              <w:pStyle w:val="Compact"/>
              <w:jc w:val="left"/>
            </w:pPr>
            <w:r>
              <w:t xml:space="preserve">95.00</w:t>
            </w:r>
          </w:p>
        </w:tc>
        <w:tc>
          <w:tcPr/>
          <w:p>
            <w:pPr>
              <w:pStyle w:val="Compact"/>
              <w:jc w:val="left"/>
            </w:pPr>
            <w:r>
              <w:t xml:space="preserve">570.00</w:t>
            </w:r>
          </w:p>
        </w:tc>
      </w:tr>
      <w:tr>
        <w:tc>
          <w:tcPr/>
          <w:p>
            <w:pPr>
              <w:pStyle w:val="Compact"/>
              <w:jc w:val="left"/>
            </w:pPr>
            <w:r>
              <w:t xml:space="preserve">11</w:t>
            </w:r>
          </w:p>
        </w:tc>
        <w:tc>
          <w:tcPr/>
          <w:p>
            <w:pPr>
              <w:pStyle w:val="Compact"/>
              <w:jc w:val="left"/>
            </w:pPr>
            <w:r>
              <w:t xml:space="preserve">Sectioning Clips &amp; Tails – Professional Set (24 pcs)</w:t>
            </w:r>
          </w:p>
        </w:tc>
        <w:tc>
          <w:tcPr/>
          <w:p>
            <w:pPr>
              <w:pStyle w:val="Compact"/>
              <w:jc w:val="left"/>
            </w:pPr>
            <w:r>
              <w:t xml:space="preserve">10</w:t>
            </w:r>
          </w:p>
        </w:tc>
        <w:tc>
          <w:tcPr/>
          <w:p>
            <w:pPr>
              <w:pStyle w:val="Compact"/>
              <w:jc w:val="left"/>
            </w:pPr>
            <w:r>
              <w:t xml:space="preserve">sets</w:t>
            </w:r>
          </w:p>
        </w:tc>
        <w:tc>
          <w:tcPr/>
          <w:p>
            <w:pPr>
              <w:pStyle w:val="Compact"/>
              <w:jc w:val="left"/>
            </w:pPr>
            <w:r>
              <w:t xml:space="preserve">45.00</w:t>
            </w:r>
          </w:p>
        </w:tc>
        <w:tc>
          <w:tcPr/>
          <w:p>
            <w:pPr>
              <w:pStyle w:val="Compact"/>
              <w:jc w:val="left"/>
            </w:pPr>
            <w:r>
              <w:t xml:space="preserve">450.00</w:t>
            </w:r>
          </w:p>
        </w:tc>
      </w:tr>
      <w:tr>
        <w:tc>
          <w:tcPr/>
          <w:p>
            <w:pPr>
              <w:pStyle w:val="Compact"/>
              <w:jc w:val="left"/>
            </w:pPr>
            <w:r>
              <w:t xml:space="preserve">12</w:t>
            </w:r>
          </w:p>
        </w:tc>
        <w:tc>
          <w:tcPr/>
          <w:p>
            <w:pPr>
              <w:pStyle w:val="Compact"/>
              <w:jc w:val="left"/>
            </w:pPr>
            <w:r>
              <w:t xml:space="preserve">UV Sterilizer Cabinet – 4-Drawer, for Hairdresser Tools</w:t>
            </w:r>
          </w:p>
        </w:tc>
        <w:tc>
          <w:tcPr/>
          <w:p>
            <w:pPr>
              <w:pStyle w:val="Compact"/>
              <w:jc w:val="left"/>
            </w:pPr>
            <w:r>
              <w:t xml:space="preserve">1</w:t>
            </w:r>
          </w:p>
        </w:tc>
        <w:tc>
          <w:tcPr/>
          <w:p>
            <w:pPr>
              <w:pStyle w:val="Compact"/>
              <w:jc w:val="left"/>
            </w:pPr>
            <w:r>
              <w:t xml:space="preserve">pc</w:t>
            </w:r>
          </w:p>
        </w:tc>
        <w:tc>
          <w:tcPr/>
          <w:p>
            <w:pPr>
              <w:pStyle w:val="Compact"/>
              <w:jc w:val="left"/>
            </w:pPr>
            <w:r>
              <w:t xml:space="preserve">2,900.00</w:t>
            </w:r>
          </w:p>
        </w:tc>
        <w:tc>
          <w:tcPr/>
          <w:p>
            <w:pPr>
              <w:pStyle w:val="Compact"/>
              <w:jc w:val="left"/>
            </w:pPr>
            <w:r>
              <w:t xml:space="preserve">2,900.00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ILS 63,480.00</w:t>
            </w:r>
          </w:p>
        </w:tc>
      </w:tr>
      <w:tr>
        <w:tc>
          <w:tcPr/>
          <w:p>
            <w:pPr>
              <w:pStyle w:val="Compact"/>
              <w:jc w:val="left"/>
            </w:pPr>
            <w:r>
              <w:t xml:space="preserve">VAT (18% – Israel):</w:t>
            </w:r>
          </w:p>
        </w:tc>
        <w:tc>
          <w:tcPr/>
          <w:p>
            <w:pPr>
              <w:pStyle w:val="Compact"/>
              <w:jc w:val="left"/>
            </w:pPr>
            <w:r>
              <w:t xml:space="preserve">ILS 11,426.40</w:t>
            </w:r>
          </w:p>
        </w:tc>
      </w:tr>
      <w:tr>
        <w:tc>
          <w:tcPr/>
          <w:p>
            <w:pPr>
              <w:pStyle w:val="Compact"/>
              <w:jc w:val="left"/>
            </w:pPr>
            <w:r>
              <w:t xml:space="preserve">Delivery Fee (Israel Jerusalem):</w:t>
            </w:r>
          </w:p>
        </w:tc>
        <w:tc>
          <w:tcPr/>
          <w:p>
            <w:pPr>
              <w:pStyle w:val="Compact"/>
              <w:jc w:val="left"/>
            </w:pPr>
            <w:r>
              <w:t xml:space="preserve">ILS 350.00</w:t>
            </w:r>
          </w:p>
        </w:tc>
      </w:tr>
      <w:tr>
        <w:tc>
          <w:tcPr/>
          <w:p>
            <w:pPr>
              <w:pStyle w:val="Compact"/>
              <w:jc w:val="left"/>
            </w:pPr>
            <w:r>
              <w:t xml:space="preserve">Grand Total (incl. VAT):</w:t>
            </w:r>
          </w:p>
        </w:tc>
        <w:tc>
          <w:tcPr/>
          <w:p>
            <w:pPr>
              <w:pStyle w:val="Compact"/>
              <w:jc w:val="left"/>
            </w:pPr>
            <w:r>
              <w:t xml:space="preserve">ILS 75,256.40</w:t>
            </w:r>
          </w:p>
        </w:tc>
      </w:tr>
    </w:tbl>
    <w:p>
      <w:pPr>
        <w:pStyle w:val="BodyText"/>
      </w:pPr>
      <w:r>
        <w:t xml:space="preserve">Terms &amp; Conditions</w:t>
      </w:r>
    </w:p>
    <w:p>
      <w:pPr>
        <w:numPr>
          <w:ilvl w:val="0"/>
          <w:numId w:val="1001"/>
        </w:numPr>
        <w:pStyle w:val="Compact"/>
      </w:pPr>
      <w:r>
        <w:rPr>
          <w:bCs/>
          <w:b/>
        </w:rPr>
        <w:t xml:space="preserve">Payment Terms:</w:t>
      </w:r>
      <w:r>
        <w:t xml:space="preserve"> </w:t>
      </w:r>
      <w:r>
        <w:t xml:space="preserve">Net 30 days from the date of this Purchase Order. Payment shall be made via bank transfer to ProStyle Israel Ltd., Bank Leumi, Branch 010, Account 001-445-882-19. The Hairdresser buyer shall include the Purchase Order number in the payment reference.</w:t>
      </w:r>
    </w:p>
    <w:p>
      <w:pPr>
        <w:numPr>
          <w:ilvl w:val="0"/>
          <w:numId w:val="1001"/>
        </w:numPr>
        <w:pStyle w:val="Compact"/>
      </w:pPr>
      <w:r>
        <w:rPr>
          <w:bCs/>
          <w:b/>
        </w:rPr>
        <w:t xml:space="preserve">Delivery:</w:t>
      </w:r>
      <w:r>
        <w:t xml:space="preserve"> </w:t>
      </w:r>
      <w:r>
        <w:t xml:space="preserve">The supplier shall deliver all items listed in this Purchase Order to the Hairdresser premises located in Israel Jerusalem, 42 King George Street, within 10 business days of the order confirmation date. Delivery shall be scheduled between 09:00 and 14:00 to accommodate the Hairdresser's operating hours.</w:t>
      </w:r>
    </w:p>
    <w:p>
      <w:pPr>
        <w:numPr>
          <w:ilvl w:val="0"/>
          <w:numId w:val="1001"/>
        </w:numPr>
        <w:pStyle w:val="Compact"/>
      </w:pPr>
      <w:r>
        <w:rPr>
          <w:bCs/>
          <w:b/>
        </w:rPr>
        <w:t xml:space="preserve">Acceptance &amp; Inspection:</w:t>
      </w:r>
      <w:r>
        <w:t xml:space="preserve"> </w:t>
      </w:r>
      <w:r>
        <w:t xml:space="preserve">Upon arrival in Israel Jerusalem, the Hairdresser buyer shall inspect all goods within 48 hours. Any damaged, defective, or incorrect items must be reported in writing to the supplier within that period. Unreported issues shall be deemed accepted.</w:t>
      </w:r>
    </w:p>
    <w:p>
      <w:pPr>
        <w:numPr>
          <w:ilvl w:val="0"/>
          <w:numId w:val="1001"/>
        </w:numPr>
        <w:pStyle w:val="Compact"/>
      </w:pPr>
      <w:r>
        <w:rPr>
          <w:bCs/>
          <w:b/>
        </w:rPr>
        <w:t xml:space="preserve">Warranty:</w:t>
      </w:r>
      <w:r>
        <w:t xml:space="preserve"> </w:t>
      </w:r>
      <w:r>
        <w:t xml:space="preserve">All professional equipment (hairdryers, flat irons, chairs, mirrors, wash basins, and UV sterilizer) carries a minimum 24-month manufacturer's warranty. Consumables (shampoo, color kits, sprays, capes, clips) are non-returnable once opened.</w:t>
      </w:r>
    </w:p>
    <w:p>
      <w:pPr>
        <w:numPr>
          <w:ilvl w:val="0"/>
          <w:numId w:val="1001"/>
        </w:numPr>
        <w:pStyle w:val="Compact"/>
      </w:pPr>
      <w:r>
        <w:rPr>
          <w:bCs/>
          <w:b/>
        </w:rPr>
        <w:t xml:space="preserve">Compliance:</w:t>
      </w:r>
      <w:r>
        <w:t xml:space="preserve"> </w:t>
      </w:r>
      <w:r>
        <w:t xml:space="preserve">All products must comply with the Standards of Israel (SII) regulations and the Ministry of Health guidelines for professional Hairdresser use. The supplier warrants that all chemical products are registered with the Israeli Ministry of Health.</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national holidays in Israel, security-related disruptions in the Jerusalem area, or government-mandated closures.</w:t>
      </w:r>
    </w:p>
    <w:p>
      <w:pPr>
        <w:numPr>
          <w:ilvl w:val="0"/>
          <w:numId w:val="1001"/>
        </w:numPr>
        <w:pStyle w:val="Compact"/>
      </w:pPr>
      <w:r>
        <w:rPr>
          <w:bCs/>
          <w:b/>
        </w:rPr>
        <w:t xml:space="preserve">Governing Law:</w:t>
      </w:r>
      <w:r>
        <w:t xml:space="preserve"> </w:t>
      </w:r>
      <w:r>
        <w:t xml:space="preserve">This Purchase Order shall be governed by and interpreted in accordance with the laws of the State of Israel. Any disputes shall be subject to the exclusive jurisdiction of the courts in Israel Jerusalem.</w:t>
      </w:r>
    </w:p>
    <w:p>
      <w:pPr>
        <w:numPr>
          <w:ilvl w:val="0"/>
          <w:numId w:val="1001"/>
        </w:numPr>
        <w:pStyle w:val="Compact"/>
      </w:pPr>
      <w:r>
        <w:rPr>
          <w:bCs/>
          <w:b/>
        </w:rPr>
        <w:t xml:space="preserve">Validity:</w:t>
      </w:r>
      <w:r>
        <w:t xml:space="preserve"> </w:t>
      </w:r>
      <w:r>
        <w:t xml:space="preserve">This Purchase Order is valid for 30 calendar days from the date of issue. If the supplier has not confirmed acceptance within 5 business days, the Hairdresser buyer reserves the right to source the items from an alternative vendor.</w:t>
      </w:r>
    </w:p>
    <w:p>
      <w:pPr>
        <w:numPr>
          <w:ilvl w:val="0"/>
          <w:numId w:val="1001"/>
        </w:numPr>
        <w:pStyle w:val="Compact"/>
      </w:pPr>
      <w:r>
        <w:rPr>
          <w:bCs/>
          <w:b/>
        </w:rPr>
        <w:t xml:space="preserve">Confidentiality:</w:t>
      </w:r>
      <w:r>
        <w:t xml:space="preserve"> </w:t>
      </w:r>
      <w:r>
        <w:t xml:space="preserve">Both parties agree to maintain the confidentiality of pricing, business terms, and client information related to this Hairdresser Purchase Order arrangement.</w:t>
      </w:r>
    </w:p>
    <w:p>
      <w:pPr>
        <w:pStyle w:val="FirstParagraph"/>
      </w:pPr>
      <w:r>
        <w:t xml:space="preserve">Authorized Signatures</w:t>
      </w:r>
    </w:p>
    <w:p>
      <w:pPr>
        <w:pStyle w:val="BodyText"/>
      </w:pPr>
      <w:r>
        <w:rPr>
          <w:bCs/>
          <w:b/>
        </w:rPr>
        <w:t xml:space="preserve">For the Hairdresser (Buyer):</w:t>
      </w:r>
      <w:r>
        <w:br/>
      </w:r>
      <w:r>
        <w:t xml:space="preserve">Miriam Goldstein</w:t>
      </w:r>
      <w:r>
        <w:br/>
      </w:r>
      <w:r>
        <w:t xml:space="preserve">Owner, Salon "Crown of Zion"</w:t>
      </w:r>
      <w:r>
        <w:br/>
      </w:r>
      <w:r>
        <w:t xml:space="preserve">Israel Jerusalem</w:t>
      </w:r>
      <w:r>
        <w:br/>
      </w:r>
      <w:r>
        <w:t xml:space="preserve">Date: _______________</w:t>
      </w:r>
    </w:p>
    <w:p>
      <w:pPr>
        <w:pStyle w:val="BodyText"/>
      </w:pPr>
      <w:r>
        <w:rPr>
          <w:bCs/>
          <w:b/>
        </w:rPr>
        <w:t xml:space="preserve">For the Supplier (Vendor):</w:t>
      </w:r>
      <w:r>
        <w:br/>
      </w:r>
      <w:r>
        <w:t xml:space="preserve">David Levi</w:t>
      </w:r>
      <w:r>
        <w:br/>
      </w:r>
      <w:r>
        <w:t xml:space="preserve">Sales Director, ProStyle Israel Ltd.</w:t>
      </w:r>
      <w:r>
        <w:br/>
      </w:r>
      <w:r>
        <w:t xml:space="preserve">Tel Aviv, Israel</w:t>
      </w:r>
      <w:r>
        <w:br/>
      </w:r>
      <w:r>
        <w:t xml:space="preserve">Date: _______________</w:t>
      </w:r>
    </w:p>
    <w:p>
      <w:pPr>
        <w:pStyle w:val="BodyText"/>
      </w:pPr>
      <w:r>
        <w:t xml:space="preserve">This Purchase Order document was issued for the Hairdresser business "Crown of Zion" operating in Israel Jerusalem. All prices are quoted in Israeli New Shekels (ILS) and include applicable Israeli VAT at 18%. This document constitutes a binding commercial agreement upon signature by both parties. Purchase Order No. PO-JER-2025-0487.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Supplies - Israel Jerusalem</dc:title>
  <dc:creator/>
  <dc:language>en</dc:language>
  <cp:keywords/>
  <dcterms:created xsi:type="dcterms:W3CDTF">2026-10-10T02:02:46Z</dcterms:created>
  <dcterms:modified xsi:type="dcterms:W3CDTF">2026-10-10T02:02:46Z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