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Hairdresser</w:t>
      </w:r>
      <w:r>
        <w:t xml:space="preserve"> </w:t>
      </w:r>
      <w:r>
        <w:t xml:space="preserve">-</w:t>
      </w:r>
      <w:r>
        <w:t xml:space="preserve"> </w:t>
      </w:r>
      <w:r>
        <w:t xml:space="preserve">Italy</w:t>
      </w:r>
      <w:r>
        <w:t xml:space="preserve"> </w:t>
      </w:r>
      <w:r>
        <w:t xml:space="preserve">Milan</w:t>
      </w:r>
    </w:p>
    <w:bookmarkStart w:id="20" w:name="purchase-order"/>
    <w:p>
      <w:pPr>
        <w:pStyle w:val="Heading1"/>
      </w:pPr>
      <w:r>
        <w:t xml:space="preserve">PURCHASE ORDER</w:t>
      </w:r>
    </w:p>
    <w:p>
      <w:pPr>
        <w:pStyle w:val="FirstParagraph"/>
      </w:pPr>
      <w:r>
        <w:rPr>
          <w:bCs/>
          <w:b/>
        </w:rPr>
        <w:t xml:space="preserve">Salone di Bellezza "Capelli d'Oro"</w:t>
      </w:r>
      <w:r>
        <w:t xml:space="preserve"> </w:t>
      </w:r>
      <w:r>
        <w:t xml:space="preserve">— Hairdresser &amp; Beauty Salon</w:t>
      </w:r>
    </w:p>
    <w:p>
      <w:pPr>
        <w:pStyle w:val="BodyText"/>
      </w:pPr>
      <w:r>
        <w:t xml:space="preserve">Via Montenapoleone 42, 20121 Milan (MI), Italy</w:t>
      </w:r>
    </w:p>
    <w:p>
      <w:pPr>
        <w:pStyle w:val="BodyText"/>
      </w:pPr>
      <w:r>
        <w:t xml:space="preserve">VAT (P.IVA): IT02345678901 | Tel: +39 02 8765 4321 | Email: ordini@capellidoro-milano.it</w:t>
      </w:r>
    </w:p>
    <w:bookmarkEnd w:id="20"/>
    <w:p>
      <w:pPr>
        <w:pStyle w:val="BodyText"/>
      </w:pPr>
      <w:r>
        <w:rPr>
          <w:bCs/>
          <w:b/>
        </w:rPr>
        <w:t xml:space="preserve">Purchase Order No.:</w:t>
      </w:r>
      <w:r>
        <w:t xml:space="preserve"> </w:t>
      </w:r>
      <w:r>
        <w:t xml:space="preserve">PO-2025-MI-0047</w:t>
      </w:r>
      <w:r>
        <w:br/>
      </w:r>
      <w:r>
        <w:rPr>
          <w:bCs/>
          <w:b/>
        </w:rPr>
        <w:t xml:space="preserve">Date of Issue:</w:t>
      </w:r>
      <w:r>
        <w:t xml:space="preserve"> </w:t>
      </w:r>
      <w:r>
        <w:t xml:space="preserve">14 June 2025</w:t>
      </w:r>
      <w:r>
        <w:br/>
      </w:r>
      <w:r>
        <w:rPr>
          <w:bCs/>
          <w:b/>
        </w:rPr>
        <w:t xml:space="preserve">Valid Until:</w:t>
      </w:r>
      <w:r>
        <w:t xml:space="preserve"> </w:t>
      </w:r>
      <w:r>
        <w:t xml:space="preserve">28 June 2025</w:t>
      </w:r>
    </w:p>
    <w:p>
      <w:pPr>
        <w:pStyle w:val="BodyText"/>
      </w:pPr>
      <w:r>
        <w:rPr>
          <w:bCs/>
          <w:b/>
        </w:rPr>
        <w:t xml:space="preserve">Supplier:</w:t>
      </w:r>
      <w:r>
        <w:t xml:space="preserve"> </w:t>
      </w:r>
      <w:r>
        <w:t xml:space="preserve">Distributori Professionali S.r.l.</w:t>
      </w:r>
      <w:r>
        <w:br/>
      </w:r>
      <w:r>
        <w:rPr>
          <w:bCs/>
          <w:b/>
        </w:rPr>
        <w:t xml:space="preserve">Address:</w:t>
      </w:r>
      <w:r>
        <w:t xml:space="preserve"> </w:t>
      </w:r>
      <w:r>
        <w:t xml:space="preserve">Via Padova 118, 20143 Milan (MI), Italy</w:t>
      </w:r>
      <w:r>
        <w:br/>
      </w:r>
      <w:r>
        <w:rPr>
          <w:bCs/>
          <w:b/>
        </w:rPr>
        <w:t xml:space="preserve">VAT (P.IVA):</w:t>
      </w:r>
      <w:r>
        <w:t xml:space="preserve"> </w:t>
      </w:r>
      <w:r>
        <w:t xml:space="preserve">IT09876543210</w:t>
      </w:r>
      <w:r>
        <w:br/>
      </w:r>
      <w:r>
        <w:rPr>
          <w:bCs/>
          <w:b/>
        </w:rPr>
        <w:t xml:space="preserve">Contact:</w:t>
      </w:r>
      <w:r>
        <w:t xml:space="preserve"> </w:t>
      </w:r>
      <w:r>
        <w:t xml:space="preserve">Sig. Marco Bellini — +39 02 4455 6677</w:t>
      </w:r>
    </w:p>
    <w:bookmarkStart w:id="21" w:name="purchase-order-description"/>
    <w:p>
      <w:pPr>
        <w:pStyle w:val="Heading2"/>
      </w:pPr>
      <w:r>
        <w:t xml:space="preserve">1. Purchase Order Description</w:t>
      </w:r>
    </w:p>
    <w:p>
      <w:pPr>
        <w:pStyle w:val="FirstParagraph"/>
      </w:pPr>
      <w:r>
        <w:t xml:space="preserve">This Purchase Order is issued by</w:t>
      </w:r>
      <w:r>
        <w:t xml:space="preserve"> </w:t>
      </w:r>
      <w:r>
        <w:rPr>
          <w:bCs/>
          <w:b/>
        </w:rPr>
        <w:t xml:space="preserve">Salone di Bellezza "Capelli d'Oro"</w:t>
      </w:r>
      <w:r>
        <w:t xml:space="preserve">, a licensed hairdresser and professional beauty salon located in the heart of Italy Milan, specifically on Via Montenapoleone in the prestigious Quadrilatero della Moda district. This document serves as a formal and binding request for the procurement of professional hairdressing products, salon equipment, and consumable supplies necessary to maintain the highest standards of service for our clientele. As a well-established hairdresser operating in one of the most fashion-forward cities in Italy Milan, we require a consistent and reliable supply chain to ensure uninterrupted operations and premium-quality results for every client who walks through our doors.</w:t>
      </w:r>
    </w:p>
    <w:bookmarkEnd w:id="21"/>
    <w:bookmarkStart w:id="22" w:name="line-items-products-and-equipment"/>
    <w:p>
      <w:pPr>
        <w:pStyle w:val="Heading2"/>
      </w:pPr>
      <w:r>
        <w:t xml:space="preserve">2. Line Items — Products and Equipment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Subtotal (EUR)</w:t>
            </w:r>
          </w:p>
        </w:tc>
      </w:tr>
      <w:tr>
        <w:tc>
          <w:tcPr/>
          <w:p>
            <w:pPr>
              <w:pStyle w:val="Compact"/>
              <w:jc w:val="left"/>
            </w:pPr>
            <w:r>
              <w:t xml:space="preserve">01</w:t>
            </w:r>
          </w:p>
        </w:tc>
        <w:tc>
          <w:tcPr/>
          <w:p>
            <w:pPr>
              <w:pStyle w:val="Compact"/>
              <w:jc w:val="left"/>
            </w:pPr>
            <w:r>
              <w:t xml:space="preserve">Professional Keratin Hair Treatment — 1000 ml (Wella SP Series)</w:t>
            </w:r>
          </w:p>
        </w:tc>
        <w:tc>
          <w:tcPr/>
          <w:p>
            <w:pPr>
              <w:pStyle w:val="Compact"/>
              <w:jc w:val="left"/>
            </w:pPr>
            <w:r>
              <w:t xml:space="preserve">12</w:t>
            </w:r>
          </w:p>
        </w:tc>
        <w:tc>
          <w:tcPr/>
          <w:p>
            <w:pPr>
              <w:pStyle w:val="Compact"/>
              <w:jc w:val="left"/>
            </w:pPr>
            <w:r>
              <w:t xml:space="preserve">bottles</w:t>
            </w:r>
          </w:p>
        </w:tc>
        <w:tc>
          <w:tcPr/>
          <w:p>
            <w:pPr>
              <w:pStyle w:val="Compact"/>
              <w:jc w:val="left"/>
            </w:pPr>
            <w:r>
              <w:t xml:space="preserve">89.50</w:t>
            </w:r>
          </w:p>
        </w:tc>
        <w:tc>
          <w:tcPr/>
          <w:p>
            <w:pPr>
              <w:pStyle w:val="Compact"/>
              <w:jc w:val="left"/>
            </w:pPr>
            <w:r>
              <w:t xml:space="preserve">1,074.00</w:t>
            </w:r>
          </w:p>
        </w:tc>
      </w:tr>
      <w:tr>
        <w:tc>
          <w:tcPr/>
          <w:p>
            <w:pPr>
              <w:pStyle w:val="Compact"/>
              <w:jc w:val="left"/>
            </w:pPr>
            <w:r>
              <w:t xml:space="preserve">02</w:t>
            </w:r>
          </w:p>
        </w:tc>
        <w:tc>
          <w:tcPr/>
          <w:p>
            <w:pPr>
              <w:pStyle w:val="Compact"/>
              <w:jc w:val="left"/>
            </w:pPr>
            <w:r>
              <w:t xml:space="preserve">Ammonia-Free Permanent Hair Colour — Assorted Shades (L'Oréal Professionnel)</w:t>
            </w:r>
          </w:p>
        </w:tc>
        <w:tc>
          <w:tcPr/>
          <w:p>
            <w:pPr>
              <w:pStyle w:val="Compact"/>
              <w:jc w:val="left"/>
            </w:pPr>
            <w:r>
              <w:t xml:space="preserve">48</w:t>
            </w:r>
          </w:p>
        </w:tc>
        <w:tc>
          <w:tcPr/>
          <w:p>
            <w:pPr>
              <w:pStyle w:val="Compact"/>
              <w:jc w:val="left"/>
            </w:pPr>
            <w:r>
              <w:t xml:space="preserve">tubes</w:t>
            </w:r>
          </w:p>
        </w:tc>
        <w:tc>
          <w:tcPr/>
          <w:p>
            <w:pPr>
              <w:pStyle w:val="Compact"/>
              <w:jc w:val="left"/>
            </w:pPr>
            <w:r>
              <w:t xml:space="preserve">12.80</w:t>
            </w:r>
          </w:p>
        </w:tc>
        <w:tc>
          <w:tcPr/>
          <w:p>
            <w:pPr>
              <w:pStyle w:val="Compact"/>
              <w:jc w:val="left"/>
            </w:pPr>
            <w:r>
              <w:t xml:space="preserve">614.40</w:t>
            </w:r>
          </w:p>
        </w:tc>
      </w:tr>
      <w:tr>
        <w:tc>
          <w:tcPr/>
          <w:p>
            <w:pPr>
              <w:pStyle w:val="Compact"/>
              <w:jc w:val="left"/>
            </w:pPr>
            <w:r>
              <w:t xml:space="preserve">03</w:t>
            </w:r>
          </w:p>
        </w:tc>
        <w:tc>
          <w:tcPr/>
          <w:p>
            <w:pPr>
              <w:pStyle w:val="Compact"/>
              <w:jc w:val="left"/>
            </w:pPr>
            <w:r>
              <w:t xml:space="preserve">Hydrating Hair Mask for Damaged Hair — 500 ml (Kérastase)</w:t>
            </w:r>
          </w:p>
        </w:tc>
        <w:tc>
          <w:tcPr/>
          <w:p>
            <w:pPr>
              <w:pStyle w:val="Compact"/>
              <w:jc w:val="left"/>
            </w:pPr>
            <w:r>
              <w:t xml:space="preserve">20</w:t>
            </w:r>
          </w:p>
        </w:tc>
        <w:tc>
          <w:tcPr/>
          <w:p>
            <w:pPr>
              <w:pStyle w:val="Compact"/>
              <w:jc w:val="left"/>
            </w:pPr>
            <w:r>
              <w:t xml:space="preserve">units</w:t>
            </w:r>
          </w:p>
        </w:tc>
        <w:tc>
          <w:tcPr/>
          <w:p>
            <w:pPr>
              <w:pStyle w:val="Compact"/>
              <w:jc w:val="left"/>
            </w:pPr>
            <w:r>
              <w:t xml:space="preserve">42.00</w:t>
            </w:r>
          </w:p>
        </w:tc>
        <w:tc>
          <w:tcPr/>
          <w:p>
            <w:pPr>
              <w:pStyle w:val="Compact"/>
              <w:jc w:val="left"/>
            </w:pPr>
            <w:r>
              <w:t xml:space="preserve">840.00</w:t>
            </w:r>
          </w:p>
        </w:tc>
      </w:tr>
      <w:tr>
        <w:tc>
          <w:tcPr/>
          <w:p>
            <w:pPr>
              <w:pStyle w:val="Compact"/>
              <w:jc w:val="left"/>
            </w:pPr>
            <w:r>
              <w:t xml:space="preserve">04</w:t>
            </w:r>
          </w:p>
        </w:tc>
        <w:tc>
          <w:tcPr/>
          <w:p>
            <w:pPr>
              <w:pStyle w:val="Compact"/>
              <w:jc w:val="left"/>
            </w:pPr>
            <w:r>
              <w:t xml:space="preserve">Professional Ceramic Hair Dryer — 2400W (BaByliss PRO)</w:t>
            </w:r>
          </w:p>
        </w:tc>
        <w:tc>
          <w:tcPr/>
          <w:p>
            <w:pPr>
              <w:pStyle w:val="Compact"/>
              <w:jc w:val="left"/>
            </w:pPr>
            <w:r>
              <w:t xml:space="preserve">4</w:t>
            </w:r>
          </w:p>
        </w:tc>
        <w:tc>
          <w:tcPr/>
          <w:p>
            <w:pPr>
              <w:pStyle w:val="Compact"/>
              <w:jc w:val="left"/>
            </w:pPr>
            <w:r>
              <w:t xml:space="preserve">units</w:t>
            </w:r>
          </w:p>
        </w:tc>
        <w:tc>
          <w:tcPr/>
          <w:p>
            <w:pPr>
              <w:pStyle w:val="Compact"/>
              <w:jc w:val="left"/>
            </w:pPr>
            <w:r>
              <w:t xml:space="preserve">185.00</w:t>
            </w:r>
          </w:p>
        </w:tc>
        <w:tc>
          <w:tcPr/>
          <w:p>
            <w:pPr>
              <w:pStyle w:val="Compact"/>
              <w:jc w:val="left"/>
            </w:pPr>
            <w:r>
              <w:t xml:space="preserve">740.00</w:t>
            </w:r>
          </w:p>
        </w:tc>
      </w:tr>
      <w:tr>
        <w:tc>
          <w:tcPr/>
          <w:p>
            <w:pPr>
              <w:pStyle w:val="Compact"/>
              <w:jc w:val="left"/>
            </w:pPr>
            <w:r>
              <w:t xml:space="preserve">05</w:t>
            </w:r>
          </w:p>
        </w:tc>
        <w:tc>
          <w:tcPr/>
          <w:p>
            <w:pPr>
              <w:pStyle w:val="Compact"/>
              <w:jc w:val="left"/>
            </w:pPr>
            <w:r>
              <w:t xml:space="preserve">Titanium Flat Iron — 23mm (GHD Platinum+)</w:t>
            </w:r>
          </w:p>
        </w:tc>
        <w:tc>
          <w:tcPr/>
          <w:p>
            <w:pPr>
              <w:pStyle w:val="Compact"/>
              <w:jc w:val="left"/>
            </w:pPr>
            <w:r>
              <w:t xml:space="preserve">3</w:t>
            </w:r>
          </w:p>
        </w:tc>
        <w:tc>
          <w:tcPr/>
          <w:p>
            <w:pPr>
              <w:pStyle w:val="Compact"/>
              <w:jc w:val="left"/>
            </w:pPr>
            <w:r>
              <w:t xml:space="preserve">units</w:t>
            </w:r>
          </w:p>
        </w:tc>
        <w:tc>
          <w:tcPr/>
          <w:p>
            <w:pPr>
              <w:pStyle w:val="Compact"/>
              <w:jc w:val="left"/>
            </w:pPr>
            <w:r>
              <w:t xml:space="preserve">249.00</w:t>
            </w:r>
          </w:p>
        </w:tc>
        <w:tc>
          <w:tcPr/>
          <w:p>
            <w:pPr>
              <w:pStyle w:val="Compact"/>
              <w:jc w:val="left"/>
            </w:pPr>
            <w:r>
              <w:t xml:space="preserve">747.00</w:t>
            </w:r>
          </w:p>
        </w:tc>
      </w:tr>
      <w:tr>
        <w:tc>
          <w:tcPr/>
          <w:p>
            <w:pPr>
              <w:pStyle w:val="Compact"/>
              <w:jc w:val="left"/>
            </w:pPr>
            <w:r>
              <w:t xml:space="preserve">06</w:t>
            </w:r>
          </w:p>
        </w:tc>
        <w:tc>
          <w:tcPr/>
          <w:p>
            <w:pPr>
              <w:pStyle w:val="Compact"/>
              <w:jc w:val="left"/>
            </w:pPr>
            <w:r>
              <w:t xml:space="preserve">Professional Scissors Set — 6" &amp; 7" (Kasho Japan)</w:t>
            </w:r>
          </w:p>
        </w:tc>
        <w:tc>
          <w:tcPr/>
          <w:p>
            <w:pPr>
              <w:pStyle w:val="Compact"/>
              <w:jc w:val="left"/>
            </w:pPr>
            <w:r>
              <w:t xml:space="preserve">6</w:t>
            </w:r>
          </w:p>
        </w:tc>
        <w:tc>
          <w:tcPr/>
          <w:p>
            <w:pPr>
              <w:pStyle w:val="Compact"/>
              <w:jc w:val="left"/>
            </w:pPr>
            <w:r>
              <w:t xml:space="preserve">sets</w:t>
            </w:r>
          </w:p>
        </w:tc>
        <w:tc>
          <w:tcPr/>
          <w:p>
            <w:pPr>
              <w:pStyle w:val="Compact"/>
              <w:jc w:val="left"/>
            </w:pPr>
            <w:r>
              <w:t xml:space="preserve">156.00</w:t>
            </w:r>
          </w:p>
        </w:tc>
        <w:tc>
          <w:tcPr/>
          <w:p>
            <w:pPr>
              <w:pStyle w:val="Compact"/>
              <w:jc w:val="left"/>
            </w:pPr>
            <w:r>
              <w:t xml:space="preserve">936.00</w:t>
            </w:r>
          </w:p>
        </w:tc>
      </w:tr>
      <w:tr>
        <w:tc>
          <w:tcPr/>
          <w:p>
            <w:pPr>
              <w:pStyle w:val="Compact"/>
              <w:jc w:val="left"/>
            </w:pPr>
            <w:r>
              <w:t xml:space="preserve">07</w:t>
            </w:r>
          </w:p>
        </w:tc>
        <w:tc>
          <w:tcPr/>
          <w:p>
            <w:pPr>
              <w:pStyle w:val="Compact"/>
              <w:jc w:val="left"/>
            </w:pPr>
            <w:r>
              <w:t xml:space="preserve">Disposable Hairdressing Capes &amp; Neck Straps (Pack of 100)</w:t>
            </w:r>
          </w:p>
        </w:tc>
        <w:tc>
          <w:tcPr/>
          <w:p>
            <w:pPr>
              <w:pStyle w:val="Compact"/>
              <w:jc w:val="left"/>
            </w:pPr>
            <w:r>
              <w:t xml:space="preserve">10</w:t>
            </w:r>
          </w:p>
        </w:tc>
        <w:tc>
          <w:tcPr/>
          <w:p>
            <w:pPr>
              <w:pStyle w:val="Compact"/>
              <w:jc w:val="left"/>
            </w:pPr>
            <w:r>
              <w:t xml:space="preserve">packs</w:t>
            </w:r>
          </w:p>
        </w:tc>
        <w:tc>
          <w:tcPr/>
          <w:p>
            <w:pPr>
              <w:pStyle w:val="Compact"/>
              <w:jc w:val="left"/>
            </w:pPr>
            <w:r>
              <w:t xml:space="preserve">28.50</w:t>
            </w:r>
          </w:p>
        </w:tc>
        <w:tc>
          <w:tcPr/>
          <w:p>
            <w:pPr>
              <w:pStyle w:val="Compact"/>
              <w:jc w:val="left"/>
            </w:pPr>
            <w:r>
              <w:t xml:space="preserve">285.00</w:t>
            </w:r>
          </w:p>
        </w:tc>
      </w:tr>
      <w:tr>
        <w:tc>
          <w:tcPr/>
          <w:p>
            <w:pPr>
              <w:pStyle w:val="Compact"/>
              <w:jc w:val="left"/>
            </w:pPr>
            <w:r>
              <w:t xml:space="preserve">08</w:t>
            </w:r>
          </w:p>
        </w:tc>
        <w:tc>
          <w:tcPr/>
          <w:p>
            <w:pPr>
              <w:pStyle w:val="Compact"/>
              <w:jc w:val="left"/>
            </w:pPr>
            <w:r>
              <w:t xml:space="preserve">Shampoo &amp; Conditioner Refill Stations — 5L (Redken Acidic</w:t>
            </w:r>
          </w:p>
        </w:tc>
        <w:tc>
          <w:tcPr/>
          <w:p>
            <w:pPr>
              <w:pStyle w:val="Compact"/>
              <w:jc w:val="left"/>
            </w:pPr>
            <w:r>
              <w:t xml:space="preserve">8</w:t>
            </w:r>
          </w:p>
        </w:tc>
        <w:tc>
          <w:tcPr/>
          <w:p>
            <w:pPr>
              <w:pStyle w:val="Compact"/>
              <w:jc w:val="left"/>
            </w:pPr>
            <w:r>
              <w:t xml:space="preserve">units</w:t>
            </w:r>
          </w:p>
        </w:tc>
        <w:tc>
          <w:tcPr/>
          <w:p>
            <w:pPr>
              <w:pStyle w:val="Compact"/>
              <w:jc w:val="left"/>
            </w:pPr>
            <w:r>
              <w:t xml:space="preserve">67.00</w:t>
            </w:r>
          </w:p>
        </w:tc>
        <w:tc>
          <w:tcPr/>
          <w:p>
            <w:pPr>
              <w:pStyle w:val="Compact"/>
              <w:jc w:val="left"/>
            </w:pPr>
            <w:r>
              <w:t xml:space="preserve">536.00</w:t>
            </w:r>
          </w:p>
        </w:tc>
      </w:tr>
      <w:tr>
        <w:tc>
          <w:tcPr/>
          <w:p>
            <w:pPr>
              <w:pStyle w:val="Compact"/>
              <w:jc w:val="left"/>
            </w:pPr>
            <w:r>
              <w:t xml:space="preserve">09</w:t>
            </w:r>
          </w:p>
        </w:tc>
        <w:tc>
          <w:tcPr/>
          <w:p>
            <w:pPr>
              <w:pStyle w:val="Compact"/>
              <w:jc w:val="left"/>
            </w:pPr>
            <w:r>
              <w:t xml:space="preserve">Salon Chair — Hydraulic, Leather, Chrome Base (Milan Design)</w:t>
            </w:r>
          </w:p>
        </w:tc>
        <w:tc>
          <w:tcPr/>
          <w:p>
            <w:pPr>
              <w:pStyle w:val="Compact"/>
              <w:jc w:val="left"/>
            </w:pPr>
            <w:r>
              <w:t xml:space="preserve">2</w:t>
            </w:r>
          </w:p>
        </w:tc>
        <w:tc>
          <w:tcPr/>
          <w:p>
            <w:pPr>
              <w:pStyle w:val="Compact"/>
              <w:jc w:val="left"/>
            </w:pPr>
            <w:r>
              <w:t xml:space="preserve">units</w:t>
            </w:r>
          </w:p>
        </w:tc>
        <w:tc>
          <w:tcPr/>
          <w:p>
            <w:pPr>
              <w:pStyle w:val="Compact"/>
              <w:jc w:val="left"/>
            </w:pPr>
            <w:r>
              <w:t xml:space="preserve">1,250.00</w:t>
            </w:r>
          </w:p>
        </w:tc>
        <w:tc>
          <w:tcPr/>
          <w:p>
            <w:pPr>
              <w:pStyle w:val="Compact"/>
              <w:jc w:val="left"/>
            </w:pPr>
            <w:r>
              <w:t xml:space="preserve">2,500.00</w:t>
            </w:r>
          </w:p>
        </w:tc>
      </w:tr>
      <w:tr>
        <w:tc>
          <w:tcPr/>
          <w:p>
            <w:pPr>
              <w:pStyle w:val="Compact"/>
              <w:jc w:val="left"/>
            </w:pPr>
            <w:r>
              <w:t xml:space="preserve">10</w:t>
            </w:r>
          </w:p>
        </w:tc>
        <w:tc>
          <w:tcPr/>
          <w:p>
            <w:pPr>
              <w:pStyle w:val="Compact"/>
              <w:jc w:val="left"/>
            </w:pPr>
            <w:r>
              <w:t xml:space="preserve">LED Magnifying Mirror — 10x, Adjustable Arm (Professional Grade)</w:t>
            </w:r>
          </w:p>
        </w:tc>
        <w:tc>
          <w:tcPr/>
          <w:p>
            <w:pPr>
              <w:pStyle w:val="Compact"/>
              <w:jc w:val="left"/>
            </w:pPr>
            <w:r>
              <w:t xml:space="preserve">4</w:t>
            </w:r>
          </w:p>
        </w:tc>
        <w:tc>
          <w:tcPr/>
          <w:p>
            <w:pPr>
              <w:pStyle w:val="Compact"/>
              <w:jc w:val="left"/>
            </w:pPr>
            <w:r>
              <w:t xml:space="preserve">units</w:t>
            </w:r>
          </w:p>
        </w:tc>
        <w:tc>
          <w:tcPr/>
          <w:p>
            <w:pPr>
              <w:pStyle w:val="Compact"/>
              <w:jc w:val="left"/>
            </w:pPr>
            <w:r>
              <w:t xml:space="preserve">98.00</w:t>
            </w:r>
          </w:p>
        </w:tc>
        <w:tc>
          <w:tcPr/>
          <w:p>
            <w:pPr>
              <w:pStyle w:val="Compact"/>
              <w:jc w:val="left"/>
            </w:pPr>
            <w:r>
              <w:t xml:space="preserve">392.00</w:t>
            </w:r>
          </w:p>
        </w:tc>
      </w:tr>
    </w:tbl>
    <w:p>
      <w:pPr>
        <w:pStyle w:val="BodyText"/>
      </w:pPr>
      <w:r>
        <w:t xml:space="preserve">Subtotal:</w:t>
      </w:r>
      <w:r>
        <w:t xml:space="preserve"> </w:t>
      </w:r>
      <w:r>
        <w:rPr>
          <w:bCs/>
          <w:b/>
        </w:rPr>
        <w:t xml:space="preserve">EUR 8,664.40</w:t>
      </w:r>
    </w:p>
    <w:p>
      <w:pPr>
        <w:pStyle w:val="BodyText"/>
      </w:pPr>
      <w:r>
        <w:t xml:space="preserve">VAT (22% — Italian Standard Rate):</w:t>
      </w:r>
      <w:r>
        <w:t xml:space="preserve"> </w:t>
      </w:r>
      <w:r>
        <w:rPr>
          <w:bCs/>
          <w:b/>
        </w:rPr>
        <w:t xml:space="preserve">EUR 1,906.17</w:t>
      </w:r>
    </w:p>
    <w:p>
      <w:pPr>
        <w:pStyle w:val="BodyText"/>
      </w:pPr>
      <w:r>
        <w:t xml:space="preserve">Delivery &amp; Installation (within Milan city limits):</w:t>
      </w:r>
      <w:r>
        <w:t xml:space="preserve"> </w:t>
      </w:r>
      <w:r>
        <w:rPr>
          <w:bCs/>
          <w:b/>
        </w:rPr>
        <w:t xml:space="preserve">EUR 185.00</w:t>
      </w:r>
    </w:p>
    <w:p>
      <w:pPr>
        <w:pStyle w:val="BodyText"/>
      </w:pPr>
      <w:r>
        <w:t xml:space="preserve">Grand Total:</w:t>
      </w:r>
      <w:r>
        <w:t xml:space="preserve"> </w:t>
      </w:r>
      <w:r>
        <w:rPr>
          <w:bCs/>
          <w:b/>
        </w:rPr>
        <w:t xml:space="preserve">EUR 10,755.57</w:t>
      </w:r>
    </w:p>
    <w:bookmarkEnd w:id="22"/>
    <w:bookmarkStart w:id="23" w:name="delivery-instructions"/>
    <w:p>
      <w:pPr>
        <w:pStyle w:val="Heading2"/>
      </w:pPr>
      <w:r>
        <w:t xml:space="preserve">3. Delivery Instructions</w:t>
      </w:r>
    </w:p>
    <w:p>
      <w:pPr>
        <w:pStyle w:val="FirstParagraph"/>
      </w:pPr>
      <w:r>
        <w:t xml:space="preserve">All goods referenced in this Purchase Order must be delivered to the hairdresser premises at</w:t>
      </w:r>
      <w:r>
        <w:t xml:space="preserve"> </w:t>
      </w:r>
      <w:r>
        <w:rPr>
          <w:bCs/>
          <w:b/>
        </w:rPr>
        <w:t xml:space="preserve">Via Montenapoleone 42, 20121 Milan (MI), Italy</w:t>
      </w:r>
      <w:r>
        <w:t xml:space="preserve">. The delivery window is scheduled between 07:00 and 10:00 CET on a weekday, as the salon operates from 09:00 to 20:00 and we cannot accept deliveries during peak client hours. The supplier is required to coordinate with our operations manager, Sig.ra Elena Ferrari, at least 48 hours in advance. All packaging must comply with the waste disposal regulations of the Comune di Milano. The supplier bears full responsibility for any damage incurred during transit within the metropolitan area of Italy Milan.</w:t>
      </w:r>
    </w:p>
    <w:bookmarkEnd w:id="23"/>
    <w:bookmarkStart w:id="24" w:name="payment-terms"/>
    <w:p>
      <w:pPr>
        <w:pStyle w:val="Heading2"/>
      </w:pPr>
      <w:r>
        <w:t xml:space="preserve">4. Payment Terms</w:t>
      </w:r>
    </w:p>
    <w:p>
      <w:pPr>
        <w:pStyle w:val="FirstParagraph"/>
      </w:pPr>
      <w:r>
        <w:t xml:space="preserve">Payment for this Purchase Order shall be made via bank transfer (bonifico bancario) to the supplier's designated IBAN account within</w:t>
      </w:r>
      <w:r>
        <w:t xml:space="preserve"> </w:t>
      </w:r>
      <w:r>
        <w:rPr>
          <w:bCs/>
          <w:b/>
        </w:rPr>
        <w:t xml:space="preserve">30 days</w:t>
      </w:r>
      <w:r>
        <w:t xml:space="preserve"> </w:t>
      </w:r>
      <w:r>
        <w:t xml:space="preserve">from the date of confirmed delivery and acceptance of goods. The invoice must reference this Purchase Order number (PO-2025-MI-0047) for proper accounting reconciliation. A 2% early-payment discount applies if settlement is completed within 10 days of the invoice date. Late payments shall accrue interest at the rate stipulated by Italian Legislative Decree 231/2002.</w:t>
      </w:r>
    </w:p>
    <w:bookmarkEnd w:id="24"/>
    <w:bookmarkStart w:id="25" w:name="terms-and-conditions"/>
    <w:p>
      <w:pPr>
        <w:pStyle w:val="Heading2"/>
      </w:pPr>
      <w:r>
        <w:t xml:space="preserve">5. Terms and Conditions</w:t>
      </w:r>
    </w:p>
    <w:p>
      <w:pPr>
        <w:numPr>
          <w:ilvl w:val="0"/>
          <w:numId w:val="1001"/>
        </w:numPr>
        <w:pStyle w:val="Compact"/>
      </w:pPr>
      <w:r>
        <w:t xml:space="preserve">This Purchase Order constitutes a legally binding agreement between the hairdresser entity "Capelli d'Oro" and the supplier "Distributori Professionali S.r.l." upon written acceptance by both parties.</w:t>
      </w:r>
    </w:p>
    <w:p>
      <w:pPr>
        <w:numPr>
          <w:ilvl w:val="0"/>
          <w:numId w:val="1001"/>
        </w:numPr>
        <w:pStyle w:val="Compact"/>
      </w:pPr>
      <w:r>
        <w:t xml:space="preserve">All products must be new, unopened, and within their manufacturer's shelf life. Expired or damaged items will be rejected at the point of delivery and must be replaced within 5 business days at no additional cost.</w:t>
      </w:r>
    </w:p>
    <w:p>
      <w:pPr>
        <w:numPr>
          <w:ilvl w:val="0"/>
          <w:numId w:val="1001"/>
        </w:numPr>
        <w:pStyle w:val="Compact"/>
      </w:pPr>
      <w:r>
        <w:t xml:space="preserve">The supplier guarantees that all professional hairdressing chemicals and cosmetics comply with the European Cosmetics Regulation (EC) No 1223/2009 and Italian Ministry of Health (Ministero della Salute) requirements.</w:t>
      </w:r>
    </w:p>
    <w:p>
      <w:pPr>
        <w:numPr>
          <w:ilvl w:val="0"/>
          <w:numId w:val="1001"/>
        </w:numPr>
        <w:pStyle w:val="Compact"/>
      </w:pPr>
      <w:r>
        <w:t xml:space="preserve">Equipment items (hair dryers, flat irons, salon chairs, mirrors) must carry a minimum 2-year manufacturer warranty and CE marking. Installation of the salon chairs and LED mirrors shall be performed by the supplier's certified technicians at no extra charge.</w:t>
      </w:r>
    </w:p>
    <w:p>
      <w:pPr>
        <w:numPr>
          <w:ilvl w:val="0"/>
          <w:numId w:val="1001"/>
        </w:numPr>
        <w:pStyle w:val="Compact"/>
      </w:pPr>
      <w:r>
        <w:t xml:space="preserve">The supplier shall provide a detailed packing list and commercial invoice in both Italian and English, as our hairdresser team includes international stylists.</w:t>
      </w:r>
    </w:p>
    <w:p>
      <w:pPr>
        <w:numPr>
          <w:ilvl w:val="0"/>
          <w:numId w:val="1001"/>
        </w:numPr>
        <w:pStyle w:val="Compact"/>
      </w:pPr>
      <w:r>
        <w:t xml:space="preserve">Any deviation from the specifications listed in this Purchase Order requires prior written approval from the buyer. Unauthorized substitutions will result in immediate rejection of the affected line items.</w:t>
      </w:r>
    </w:p>
    <w:p>
      <w:pPr>
        <w:numPr>
          <w:ilvl w:val="0"/>
          <w:numId w:val="1001"/>
        </w:numPr>
        <w:pStyle w:val="Compact"/>
      </w:pPr>
      <w:r>
        <w:t xml:space="preserve">This Purchase Order is governed by the laws of the Italian Republic. Any disputes shall be resolved by the competent courts of Milan (Tribunale di Milano), Italy.</w:t>
      </w:r>
    </w:p>
    <w:p>
      <w:pPr>
        <w:numPr>
          <w:ilvl w:val="0"/>
          <w:numId w:val="1001"/>
        </w:numPr>
        <w:pStyle w:val="Compact"/>
      </w:pPr>
      <w:r>
        <w:t xml:space="preserve">The supplier acknowledges that the buyer operates as a registered hairdresser business in Italy Milan and is subject to periodic inspections by the ASL (Azienda Sanitaria Locale) di Milano. All products must be traceable and properly documented for regulatory compliance.</w:t>
      </w:r>
    </w:p>
    <w:bookmarkEnd w:id="25"/>
    <w:bookmarkStart w:id="26" w:name="acceptance-and-signatures"/>
    <w:p>
      <w:pPr>
        <w:pStyle w:val="Heading2"/>
      </w:pPr>
      <w:r>
        <w:t xml:space="preserve">6. Acceptance and Signatures</w:t>
      </w:r>
    </w:p>
    <w:p>
      <w:pPr>
        <w:pStyle w:val="FirstParagraph"/>
      </w:pPr>
      <w:r>
        <w:rPr>
          <w:bCs/>
          <w:b/>
        </w:rPr>
        <w:t xml:space="preserve">For the Buyer (Hairdresser):</w:t>
      </w:r>
    </w:p>
    <w:p>
      <w:pPr>
        <w:pStyle w:val="BodyText"/>
      </w:pPr>
      <w:r>
        <w:t xml:space="preserve">Salone di Bellezza "Capelli d'Oro"</w:t>
      </w:r>
      <w:r>
        <w:br/>
      </w:r>
      <w:r>
        <w:t xml:space="preserve">Via Montenapoleone 42, Milan, Italy</w:t>
      </w:r>
    </w:p>
    <w:p>
      <w:pPr>
        <w:pStyle w:val="BodyText"/>
      </w:pPr>
      <w:r>
        <w:rPr>
          <w:bCs/>
          <w:b/>
        </w:rPr>
        <w:t xml:space="preserve">Dott.ssa Giulia Moretti</w:t>
      </w:r>
      <w:r>
        <w:br/>
      </w:r>
      <w:r>
        <w:t xml:space="preserve">Owner &amp; Master Stylist</w:t>
      </w:r>
      <w:r>
        <w:br/>
      </w:r>
      <w:r>
        <w:t xml:space="preserve">Signature &amp; Date: ______________________</w:t>
      </w:r>
    </w:p>
    <w:p>
      <w:pPr>
        <w:pStyle w:val="BodyText"/>
      </w:pPr>
      <w:r>
        <w:rPr>
          <w:bCs/>
          <w:b/>
        </w:rPr>
        <w:t xml:space="preserve">For the Supplier:</w:t>
      </w:r>
    </w:p>
    <w:p>
      <w:pPr>
        <w:pStyle w:val="BodyText"/>
      </w:pPr>
      <w:r>
        <w:t xml:space="preserve">Distributori Professionali S.r.l.</w:t>
      </w:r>
      <w:r>
        <w:br/>
      </w:r>
      <w:r>
        <w:t xml:space="preserve">Via Padova 118, Milan, Italy</w:t>
      </w:r>
    </w:p>
    <w:p>
      <w:pPr>
        <w:pStyle w:val="BodyText"/>
      </w:pPr>
      <w:r>
        <w:rPr>
          <w:bCs/>
          <w:b/>
        </w:rPr>
        <w:t xml:space="preserve">Sig. Marco Bellini</w:t>
      </w:r>
      <w:r>
        <w:br/>
      </w:r>
      <w:r>
        <w:t xml:space="preserve">Sales Director</w:t>
      </w:r>
      <w:r>
        <w:br/>
      </w:r>
      <w:r>
        <w:t xml:space="preserve">Signature &amp; Date: ______________________</w:t>
      </w:r>
    </w:p>
    <w:p>
      <w:pPr>
        <w:pStyle w:val="BodyText"/>
      </w:pPr>
      <w:r>
        <w:t xml:space="preserve">This Purchase Order was generated for the hairdresser business "Capelli d'Oro" operating in Italy Milan. Document reference: PO-2025-MI-0047. This document is valid for a period of 14 calendar days from the date of issue. For any amendments or clarifications, please contact the buyer's office at ordini@capellidoro-milano.it. All communications regarding this Purchase Order shall be conducted in writing and reference the document number above.</w:t>
      </w:r>
    </w:p>
    <w:p>
      <w:pPr>
        <w:pStyle w:val="BodyText"/>
      </w:pPr>
      <w:r>
        <w:t xml:space="preserve">© 2025 Salone di Bellezza "Capelli d'Oro" — Milan, Italy.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Hairdresser - Italy Milan</dc:title>
  <dc:creator/>
  <dc:language>en</dc:language>
  <cp:keywords/>
  <dcterms:created xsi:type="dcterms:W3CDTF">2026-10-10T02:45:07Z</dcterms:created>
  <dcterms:modified xsi:type="dcterms:W3CDTF">2026-10-10T02:45:07Z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