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Kyoto,</w:t>
      </w:r>
      <w:r>
        <w:t xml:space="preserve"> </w:t>
      </w:r>
      <w:r>
        <w:t xml:space="preserve">Japan</w:t>
      </w:r>
    </w:p>
    <w:bookmarkStart w:id="20" w:name="purchase-order"/>
    <w:p>
      <w:pPr>
        <w:pStyle w:val="Heading1"/>
      </w:pPr>
      <w:r>
        <w:t xml:space="preserve">PURCHASE ORDER</w:t>
      </w:r>
    </w:p>
    <w:p>
      <w:pPr>
        <w:pStyle w:val="FirstParagraph"/>
      </w:pPr>
      <w:r>
        <w:t xml:space="preserve">Hairdresser &amp; Salon Supply Procurement — Japan, Kyoto</w:t>
      </w:r>
    </w:p>
    <w:p>
      <w:pPr>
        <w:pStyle w:val="BodyText"/>
      </w:pPr>
      <w:r>
        <w:t xml:space="preserve">PO No.: KYO-HD-2025-0487</w:t>
      </w:r>
    </w:p>
    <w:bookmarkEnd w:id="20"/>
    <w:bookmarkStart w:id="21" w:name="purchaser-buyer"/>
    <w:p>
      <w:pPr>
        <w:pStyle w:val="Heading3"/>
      </w:pPr>
      <w:r>
        <w:t xml:space="preserve">Purchaser (Buyer)</w:t>
      </w:r>
    </w:p>
    <w:p>
      <w:pPr>
        <w:pStyle w:val="FirstParagraph"/>
      </w:pPr>
      <w:r>
        <w:rPr>
          <w:bCs/>
          <w:b/>
        </w:rPr>
        <w:t xml:space="preserve">Kyoto Kaminari Hairdresser Studio</w:t>
      </w:r>
    </w:p>
    <w:p>
      <w:pPr>
        <w:pStyle w:val="BodyText"/>
      </w:pPr>
      <w:r>
        <w:t xml:space="preserve">12-4 Gion-Shirakawa, Higashiyama-ku</w:t>
      </w:r>
    </w:p>
    <w:p>
      <w:pPr>
        <w:pStyle w:val="BodyText"/>
      </w:pPr>
      <w:r>
        <w:t xml:space="preserve">Kyoto 605-0001, Japan</w:t>
      </w:r>
    </w:p>
    <w:p>
      <w:pPr>
        <w:pStyle w:val="BodyText"/>
      </w:pPr>
      <w:r>
        <w:t xml:space="preserve">Tel: +81-75-771-2345</w:t>
      </w:r>
    </w:p>
    <w:p>
      <w:pPr>
        <w:pStyle w:val="BodyText"/>
      </w:pPr>
      <w:r>
        <w:t xml:space="preserve">Email: orders@kaminari-hd-kyoto.jp</w:t>
      </w:r>
    </w:p>
    <w:p>
      <w:pPr>
        <w:pStyle w:val="BodyText"/>
      </w:pPr>
      <w:r>
        <w:t xml:space="preserve">Representative: Tanaka Yuki, Senior Hairdresser &amp; Owner</w:t>
      </w:r>
    </w:p>
    <w:bookmarkEnd w:id="21"/>
    <w:bookmarkStart w:id="22" w:name="supplier-vendor"/>
    <w:p>
      <w:pPr>
        <w:pStyle w:val="Heading3"/>
      </w:pPr>
      <w:r>
        <w:t xml:space="preserve">Supplier (Vendor)</w:t>
      </w:r>
    </w:p>
    <w:p>
      <w:pPr>
        <w:pStyle w:val="FirstParagraph"/>
      </w:pPr>
      <w:r>
        <w:rPr>
          <w:bCs/>
          <w:b/>
        </w:rPr>
        <w:t xml:space="preserve">Shin-Ei Professional Hair Products Co., Ltd.</w:t>
      </w:r>
    </w:p>
    <w:p>
      <w:pPr>
        <w:pStyle w:val="BodyText"/>
      </w:pPr>
      <w:r>
        <w:t xml:space="preserve">8-22 Nakagawa, Nakagyo-ku</w:t>
      </w:r>
    </w:p>
    <w:p>
      <w:pPr>
        <w:pStyle w:val="BodyText"/>
      </w:pPr>
      <w:r>
        <w:t xml:space="preserve">Kyoto 604-8152, Japan</w:t>
      </w:r>
    </w:p>
    <w:p>
      <w:pPr>
        <w:pStyle w:val="BodyText"/>
      </w:pPr>
      <w:r>
        <w:t xml:space="preserve">Tel: +81-75-463-8890</w:t>
      </w:r>
    </w:p>
    <w:p>
      <w:pPr>
        <w:pStyle w:val="BodyText"/>
      </w:pPr>
      <w:r>
        <w:t xml:space="preserve">Email: sales@shin-ei-hair.jp</w:t>
      </w:r>
    </w:p>
    <w:p>
      <w:pPr>
        <w:pStyle w:val="BodyText"/>
      </w:pPr>
      <w:r>
        <w:t xml:space="preserve">Contact: Sato Hiroshi, Regional Sales Manager</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Delivery Address:</w:t>
      </w:r>
      <w:r>
        <w:t xml:space="preserve"> </w:t>
      </w:r>
      <w:r>
        <w:t xml:space="preserve">Kyoto Kaminari Hairdresser Studio, 12-4 Gion-Shirakawa, Higashiyama-ku, Kyoto 605-0001, Japan</w:t>
      </w:r>
    </w:p>
    <w:p>
      <w:pPr>
        <w:pStyle w:val="BodyText"/>
      </w:pPr>
      <w:r>
        <w:rPr>
          <w:bCs/>
          <w:b/>
        </w:rPr>
        <w:t xml:space="preserve">Payment Terms:</w:t>
      </w:r>
      <w:r>
        <w:t xml:space="preserve"> </w:t>
      </w:r>
      <w:r>
        <w:t xml:space="preserve">Net 30 days from invoice date</w:t>
      </w:r>
    </w:p>
    <w:bookmarkEnd w:id="23"/>
    <w:bookmarkStart w:id="24" w:name="order-reference"/>
    <w:p>
      <w:pPr>
        <w:pStyle w:val="Heading3"/>
      </w:pPr>
      <w:r>
        <w:t xml:space="preserve">Order Reference</w:t>
      </w:r>
    </w:p>
    <w:p>
      <w:pPr>
        <w:pStyle w:val="FirstParagraph"/>
      </w:pPr>
      <w:r>
        <w:rPr>
          <w:bCs/>
          <w:b/>
        </w:rPr>
        <w:t xml:space="preserve">PO Reference:</w:t>
      </w:r>
      <w:r>
        <w:t xml:space="preserve"> </w:t>
      </w:r>
      <w:r>
        <w:t xml:space="preserve">KYO-HD-2025-0487</w:t>
      </w:r>
    </w:p>
    <w:p>
      <w:pPr>
        <w:pStyle w:val="BodyText"/>
      </w:pPr>
      <w:r>
        <w:rPr>
          <w:bCs/>
          <w:b/>
        </w:rPr>
        <w:t xml:space="preserve">Vendor Invoice No.:</w:t>
      </w:r>
      <w:r>
        <w:t xml:space="preserve"> </w:t>
      </w:r>
      <w:r>
        <w:t xml:space="preserve">SE-INV-2025-11932</w:t>
      </w:r>
    </w:p>
    <w:p>
      <w:pPr>
        <w:pStyle w:val="BodyText"/>
      </w:pPr>
      <w:r>
        <w:rPr>
          <w:bCs/>
          <w:b/>
        </w:rPr>
        <w:t xml:space="preserve">Currency:</w:t>
      </w:r>
      <w:r>
        <w:t xml:space="preserve"> </w:t>
      </w:r>
      <w:r>
        <w:t xml:space="preserve">Japanese Yen (JPY)</w:t>
      </w:r>
    </w:p>
    <w:p>
      <w:pPr>
        <w:pStyle w:val="BodyText"/>
      </w:pPr>
      <w:r>
        <w:rPr>
          <w:bCs/>
          <w:b/>
        </w:rPr>
        <w:t xml:space="preserve">Incoterms:</w:t>
      </w:r>
      <w:r>
        <w:t xml:space="preserve"> </w:t>
      </w:r>
      <w:r>
        <w:t xml:space="preserve">DDP Kyoto (Delivered Duty Paid)</w:t>
      </w:r>
    </w:p>
    <w:bookmarkEnd w:id="24"/>
    <w:bookmarkStart w:id="26" w:name="X0433ecf6bd5aaeae9aa82242db81ae64a99dce5"/>
    <w:p>
      <w:pPr>
        <w:pStyle w:val="Heading2"/>
      </w:pPr>
      <w:r>
        <w:t xml:space="preserve">Line Items — Hairdresser Equipment &amp; Professional Products for Kyoto Salon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001</w:t>
            </w:r>
          </w:p>
        </w:tc>
        <w:tc>
          <w:tcPr/>
          <w:p>
            <w:pPr>
              <w:pStyle w:val="Compact"/>
              <w:jc w:val="left"/>
            </w:pPr>
            <w:r>
              <w:t xml:space="preserve">Professional Ceramic Hairdryer, 2400W, Ionic Technology (for hairdresser station use)</w:t>
            </w:r>
          </w:p>
        </w:tc>
        <w:tc>
          <w:tcPr/>
          <w:p>
            <w:pPr>
              <w:pStyle w:val="Compact"/>
              <w:jc w:val="left"/>
            </w:pPr>
            <w:r>
              <w:t xml:space="preserve">6</w:t>
            </w:r>
          </w:p>
        </w:tc>
        <w:tc>
          <w:tcPr/>
          <w:p>
            <w:pPr>
              <w:pStyle w:val="Compact"/>
              <w:jc w:val="left"/>
            </w:pPr>
            <w:r>
              <w:t xml:space="preserve">pcs</w:t>
            </w:r>
          </w:p>
        </w:tc>
        <w:tc>
          <w:tcPr/>
          <w:p>
            <w:pPr>
              <w:pStyle w:val="Compact"/>
              <w:jc w:val="left"/>
            </w:pPr>
            <w:r>
              <w:t xml:space="preserve">48,500</w:t>
            </w:r>
          </w:p>
        </w:tc>
        <w:tc>
          <w:tcPr/>
          <w:p>
            <w:pPr>
              <w:pStyle w:val="Compact"/>
              <w:jc w:val="left"/>
            </w:pPr>
            <w:r>
              <w:t xml:space="preserve">291,000</w:t>
            </w:r>
          </w:p>
        </w:tc>
      </w:tr>
      <w:tr>
        <w:tc>
          <w:tcPr/>
          <w:p>
            <w:pPr>
              <w:pStyle w:val="Compact"/>
              <w:jc w:val="left"/>
            </w:pPr>
            <w:r>
              <w:t xml:space="preserve">002</w:t>
            </w:r>
          </w:p>
        </w:tc>
        <w:tc>
          <w:tcPr/>
          <w:p>
            <w:pPr>
              <w:pStyle w:val="Compact"/>
              <w:jc w:val="left"/>
            </w:pPr>
            <w:r>
              <w:t xml:space="preserve">Titanium Flat Iron, 110mm, Auto Temperature Control (hairdresser styling tool)</w:t>
            </w:r>
          </w:p>
        </w:tc>
        <w:tc>
          <w:tcPr/>
          <w:p>
            <w:pPr>
              <w:pStyle w:val="Compact"/>
              <w:jc w:val="left"/>
            </w:pPr>
            <w:r>
              <w:t xml:space="preserve">4</w:t>
            </w:r>
          </w:p>
        </w:tc>
        <w:tc>
          <w:tcPr/>
          <w:p>
            <w:pPr>
              <w:pStyle w:val="Compact"/>
              <w:jc w:val="left"/>
            </w:pPr>
            <w:r>
              <w:t xml:space="preserve">pcs</w:t>
            </w:r>
          </w:p>
        </w:tc>
        <w:tc>
          <w:tcPr/>
          <w:p>
            <w:pPr>
              <w:pStyle w:val="Compact"/>
              <w:jc w:val="left"/>
            </w:pPr>
            <w:r>
              <w:t xml:space="preserve">32,800</w:t>
            </w:r>
          </w:p>
        </w:tc>
        <w:tc>
          <w:tcPr/>
          <w:p>
            <w:pPr>
              <w:pStyle w:val="Compact"/>
              <w:jc w:val="left"/>
            </w:pPr>
            <w:r>
              <w:t xml:space="preserve">131,200</w:t>
            </w:r>
          </w:p>
        </w:tc>
      </w:tr>
      <w:tr>
        <w:tc>
          <w:tcPr/>
          <w:p>
            <w:pPr>
              <w:pStyle w:val="Compact"/>
              <w:jc w:val="left"/>
            </w:pPr>
            <w:r>
              <w:t xml:space="preserve">003</w:t>
            </w:r>
          </w:p>
        </w:tc>
        <w:tc>
          <w:tcPr/>
          <w:p>
            <w:pPr>
              <w:pStyle w:val="Compact"/>
              <w:jc w:val="left"/>
            </w:pPr>
            <w:r>
              <w:t xml:space="preserve">Professional Hair Cutting Scissors Set, 6-inch &amp; 7-inch, Japanese Steel (Kyoto-forged)</w:t>
            </w:r>
          </w:p>
        </w:tc>
        <w:tc>
          <w:tcPr/>
          <w:p>
            <w:pPr>
              <w:pStyle w:val="Compact"/>
              <w:jc w:val="left"/>
            </w:pPr>
            <w:r>
              <w:t xml:space="preserve">8</w:t>
            </w:r>
          </w:p>
        </w:tc>
        <w:tc>
          <w:tcPr/>
          <w:p>
            <w:pPr>
              <w:pStyle w:val="Compact"/>
              <w:jc w:val="left"/>
            </w:pPr>
            <w:r>
              <w:t xml:space="preserve">sets</w:t>
            </w:r>
          </w:p>
        </w:tc>
        <w:tc>
          <w:tcPr/>
          <w:p>
            <w:pPr>
              <w:pStyle w:val="Compact"/>
              <w:jc w:val="left"/>
            </w:pPr>
            <w:r>
              <w:t xml:space="preserve">28,400</w:t>
            </w:r>
          </w:p>
        </w:tc>
        <w:tc>
          <w:tcPr/>
          <w:p>
            <w:pPr>
              <w:pStyle w:val="Compact"/>
              <w:jc w:val="left"/>
            </w:pPr>
            <w:r>
              <w:t xml:space="preserve">227,200</w:t>
            </w:r>
          </w:p>
        </w:tc>
      </w:tr>
      <w:tr>
        <w:tc>
          <w:tcPr/>
          <w:p>
            <w:pPr>
              <w:pStyle w:val="Compact"/>
              <w:jc w:val="left"/>
            </w:pPr>
            <w:r>
              <w:t xml:space="preserve">004</w:t>
            </w:r>
          </w:p>
        </w:tc>
        <w:tc>
          <w:tcPr/>
          <w:p>
            <w:pPr>
              <w:pStyle w:val="Compact"/>
              <w:jc w:val="left"/>
            </w:pPr>
            <w:r>
              <w:t xml:space="preserve">Ammonia-Free Hair Color Kit, Natural Black &amp; Deep Brown (12 tubes each)</w:t>
            </w:r>
          </w:p>
        </w:tc>
        <w:tc>
          <w:tcPr/>
          <w:p>
            <w:pPr>
              <w:pStyle w:val="Compact"/>
              <w:jc w:val="left"/>
            </w:pPr>
            <w:r>
              <w:t xml:space="preserve">24</w:t>
            </w:r>
          </w:p>
        </w:tc>
        <w:tc>
          <w:tcPr/>
          <w:p>
            <w:pPr>
              <w:pStyle w:val="Compact"/>
              <w:jc w:val="left"/>
            </w:pPr>
            <w:r>
              <w:t xml:space="preserve">tubes</w:t>
            </w:r>
          </w:p>
        </w:tc>
        <w:tc>
          <w:tcPr/>
          <w:p>
            <w:pPr>
              <w:pStyle w:val="Compact"/>
              <w:jc w:val="left"/>
            </w:pPr>
            <w:r>
              <w:t xml:space="preserve">3,200</w:t>
            </w:r>
          </w:p>
        </w:tc>
        <w:tc>
          <w:tcPr/>
          <w:p>
            <w:pPr>
              <w:pStyle w:val="Compact"/>
              <w:jc w:val="left"/>
            </w:pPr>
            <w:r>
              <w:t xml:space="preserve">76,800</w:t>
            </w:r>
          </w:p>
        </w:tc>
      </w:tr>
      <w:tr>
        <w:tc>
          <w:tcPr/>
          <w:p>
            <w:pPr>
              <w:pStyle w:val="Compact"/>
              <w:jc w:val="left"/>
            </w:pPr>
            <w:r>
              <w:t xml:space="preserve">005</w:t>
            </w:r>
          </w:p>
        </w:tc>
        <w:tc>
          <w:tcPr/>
          <w:p>
            <w:pPr>
              <w:pStyle w:val="Compact"/>
              <w:jc w:val="left"/>
            </w:pPr>
            <w:r>
              <w:t xml:space="preserve">Keratin Hair Treatment Solution, 500ml (for hairdresser salon service)</w:t>
            </w:r>
          </w:p>
        </w:tc>
        <w:tc>
          <w:tcPr/>
          <w:p>
            <w:pPr>
              <w:pStyle w:val="Compact"/>
              <w:jc w:val="left"/>
            </w:pPr>
            <w:r>
              <w:t xml:space="preserve">10</w:t>
            </w:r>
          </w:p>
        </w:tc>
        <w:tc>
          <w:tcPr/>
          <w:p>
            <w:pPr>
              <w:pStyle w:val="Compact"/>
              <w:jc w:val="left"/>
            </w:pPr>
            <w:r>
              <w:t xml:space="preserve">bottles</w:t>
            </w:r>
          </w:p>
        </w:tc>
        <w:tc>
          <w:tcPr/>
          <w:p>
            <w:pPr>
              <w:pStyle w:val="Compact"/>
              <w:jc w:val="left"/>
            </w:pPr>
            <w:r>
              <w:t xml:space="preserve">12,600</w:t>
            </w:r>
          </w:p>
        </w:tc>
        <w:tc>
          <w:tcPr/>
          <w:p>
            <w:pPr>
              <w:pStyle w:val="Compact"/>
              <w:jc w:val="left"/>
            </w:pPr>
            <w:r>
              <w:t xml:space="preserve">126,000</w:t>
            </w:r>
          </w:p>
        </w:tc>
      </w:tr>
      <w:tr>
        <w:tc>
          <w:tcPr/>
          <w:p>
            <w:pPr>
              <w:pStyle w:val="Compact"/>
              <w:jc w:val="left"/>
            </w:pPr>
            <w:r>
              <w:t xml:space="preserve">006</w:t>
            </w:r>
          </w:p>
        </w:tc>
        <w:tc>
          <w:tcPr/>
          <w:p>
            <w:pPr>
              <w:pStyle w:val="Compact"/>
              <w:jc w:val="left"/>
            </w:pPr>
            <w:r>
              <w:t xml:space="preserve">Hydraulic Hairdresser Styling Chair, Black Leather, Adjustable (Kyoto salon interior)</w:t>
            </w:r>
          </w:p>
        </w:tc>
        <w:tc>
          <w:tcPr/>
          <w:p>
            <w:pPr>
              <w:pStyle w:val="Compact"/>
              <w:jc w:val="left"/>
            </w:pPr>
            <w:r>
              <w:t xml:space="preserve">4</w:t>
            </w:r>
          </w:p>
        </w:tc>
        <w:tc>
          <w:tcPr/>
          <w:p>
            <w:pPr>
              <w:pStyle w:val="Compact"/>
              <w:jc w:val="left"/>
            </w:pPr>
            <w:r>
              <w:t xml:space="preserve">pcs</w:t>
            </w:r>
          </w:p>
        </w:tc>
        <w:tc>
          <w:tcPr/>
          <w:p>
            <w:pPr>
              <w:pStyle w:val="Compact"/>
              <w:jc w:val="left"/>
            </w:pPr>
            <w:r>
              <w:t xml:space="preserve">89,000</w:t>
            </w:r>
          </w:p>
        </w:tc>
        <w:tc>
          <w:tcPr/>
          <w:p>
            <w:pPr>
              <w:pStyle w:val="Compact"/>
              <w:jc w:val="left"/>
            </w:pPr>
            <w:r>
              <w:t xml:space="preserve">356,000</w:t>
            </w:r>
          </w:p>
        </w:tc>
      </w:tr>
      <w:tr>
        <w:tc>
          <w:tcPr/>
          <w:p>
            <w:pPr>
              <w:pStyle w:val="Compact"/>
              <w:jc w:val="left"/>
            </w:pPr>
            <w:r>
              <w:t xml:space="preserve">007</w:t>
            </w:r>
          </w:p>
        </w:tc>
        <w:tc>
          <w:tcPr/>
          <w:p>
            <w:pPr>
              <w:pStyle w:val="Compact"/>
              <w:jc w:val="left"/>
            </w:pPr>
            <w:r>
              <w:t xml:space="preserve">Professional Shampoo &amp; Conditioner Refill, 1L, Sulfate-Free (hairdresser back-bar stock)</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2,800</w:t>
            </w:r>
          </w:p>
        </w:tc>
        <w:tc>
          <w:tcPr/>
          <w:p>
            <w:pPr>
              <w:pStyle w:val="Compact"/>
              <w:jc w:val="left"/>
            </w:pPr>
            <w:r>
              <w:t xml:space="preserve">112,000</w:t>
            </w:r>
          </w:p>
        </w:tc>
      </w:tr>
      <w:tr>
        <w:tc>
          <w:tcPr/>
          <w:p>
            <w:pPr>
              <w:pStyle w:val="Compact"/>
              <w:jc w:val="left"/>
            </w:pPr>
            <w:r>
              <w:t xml:space="preserve">008</w:t>
            </w:r>
          </w:p>
        </w:tc>
        <w:tc>
          <w:tcPr/>
          <w:p>
            <w:pPr>
              <w:pStyle w:val="Compact"/>
              <w:jc w:val="left"/>
            </w:pPr>
            <w:r>
              <w:t xml:space="preserve">Hair Steamer &amp; Scalp Treatment Machine, Dual-Function (hairdresser wellness service)</w:t>
            </w:r>
          </w:p>
        </w:tc>
        <w:tc>
          <w:tcPr/>
          <w:p>
            <w:pPr>
              <w:pStyle w:val="Compact"/>
              <w:jc w:val="left"/>
            </w:pPr>
            <w:r>
              <w:t xml:space="preserve">2</w:t>
            </w:r>
          </w:p>
        </w:tc>
        <w:tc>
          <w:tcPr/>
          <w:p>
            <w:pPr>
              <w:pStyle w:val="Compact"/>
              <w:jc w:val="left"/>
            </w:pPr>
            <w:r>
              <w:t xml:space="preserve">pcs</w:t>
            </w:r>
          </w:p>
        </w:tc>
        <w:tc>
          <w:tcPr/>
          <w:p>
            <w:pPr>
              <w:pStyle w:val="Compact"/>
              <w:jc w:val="left"/>
            </w:pPr>
            <w:r>
              <w:t xml:space="preserve">156,000</w:t>
            </w:r>
          </w:p>
        </w:tc>
        <w:tc>
          <w:tcPr/>
          <w:p>
            <w:pPr>
              <w:pStyle w:val="Compact"/>
              <w:jc w:val="left"/>
            </w:pPr>
            <w:r>
              <w:t xml:space="preserve">312,000</w:t>
            </w:r>
          </w:p>
        </w:tc>
      </w:tr>
      <w:tr>
        <w:tc>
          <w:tcPr/>
          <w:p>
            <w:pPr>
              <w:pStyle w:val="Compact"/>
              <w:jc w:val="left"/>
            </w:pPr>
            <w:r>
              <w:t xml:space="preserve">009</w:t>
            </w:r>
          </w:p>
        </w:tc>
        <w:tc>
          <w:tcPr/>
          <w:p>
            <w:pPr>
              <w:pStyle w:val="Compact"/>
              <w:jc w:val="left"/>
            </w:pPr>
            <w:r>
              <w:t xml:space="preserve">Disposable Hairdresser Capes &amp; Towels, Pack of 200 (Kyoto salon consumables)</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010</w:t>
            </w:r>
          </w:p>
        </w:tc>
        <w:tc>
          <w:tcPr/>
          <w:p>
            <w:pPr>
              <w:pStyle w:val="Compact"/>
              <w:jc w:val="left"/>
            </w:pPr>
            <w:r>
              <w:t xml:space="preserve">LED Magnifying Hairdresser Mirror Station, Wall-Mounted, 3-Head (Kyoto Gion studio upgrade)</w:t>
            </w:r>
          </w:p>
        </w:tc>
        <w:tc>
          <w:tcPr/>
          <w:p>
            <w:pPr>
              <w:pStyle w:val="Compact"/>
              <w:jc w:val="left"/>
            </w:pPr>
            <w:r>
              <w:t xml:space="preserve">4</w:t>
            </w:r>
          </w:p>
        </w:tc>
        <w:tc>
          <w:tcPr/>
          <w:p>
            <w:pPr>
              <w:pStyle w:val="Compact"/>
              <w:jc w:val="left"/>
            </w:pPr>
            <w:r>
              <w:t xml:space="preserve">pcs</w:t>
            </w:r>
          </w:p>
        </w:tc>
        <w:tc>
          <w:tcPr/>
          <w:p>
            <w:pPr>
              <w:pStyle w:val="Compact"/>
              <w:jc w:val="left"/>
            </w:pPr>
            <w:r>
              <w:t xml:space="preserve">22,300</w:t>
            </w:r>
          </w:p>
        </w:tc>
        <w:tc>
          <w:tcPr/>
          <w:p>
            <w:pPr>
              <w:pStyle w:val="Compact"/>
              <w:jc w:val="left"/>
            </w:pPr>
            <w:r>
              <w:t xml:space="preserve">89,200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1,766,400 JPY</w:t>
            </w:r>
          </w:p>
        </w:tc>
      </w:tr>
      <w:tr>
        <w:tc>
          <w:tcPr/>
          <w:p>
            <w:pPr>
              <w:pStyle w:val="Compact"/>
              <w:jc w:val="left"/>
            </w:pPr>
            <w:r>
              <w:t xml:space="preserve">Consumable Tax (10%)</w:t>
            </w:r>
          </w:p>
        </w:tc>
        <w:tc>
          <w:tcPr/>
          <w:p>
            <w:pPr>
              <w:pStyle w:val="Compact"/>
              <w:jc w:val="right"/>
            </w:pPr>
            <w:r>
              <w:t xml:space="preserve">176,640 JPY</w:t>
            </w:r>
          </w:p>
        </w:tc>
      </w:tr>
      <w:tr>
        <w:tc>
          <w:tcPr/>
          <w:p>
            <w:pPr>
              <w:pStyle w:val="Compact"/>
              <w:jc w:val="left"/>
            </w:pPr>
            <w:r>
              <w:t xml:space="preserve">Delivery &amp; Handling (Kyoto Metro Area)</w:t>
            </w:r>
          </w:p>
        </w:tc>
        <w:tc>
          <w:tcPr/>
          <w:p>
            <w:pPr>
              <w:pStyle w:val="Compact"/>
              <w:jc w:val="right"/>
            </w:pPr>
            <w:r>
              <w:t xml:space="preserve">18,500 JPY</w:t>
            </w:r>
          </w:p>
        </w:tc>
      </w:tr>
      <w:tr>
        <w:tc>
          <w:tcPr/>
          <w:p>
            <w:pPr>
              <w:pStyle w:val="Compact"/>
              <w:jc w:val="left"/>
            </w:pPr>
            <w:r>
              <w:t xml:space="preserve">Grand Total</w:t>
            </w:r>
          </w:p>
        </w:tc>
        <w:tc>
          <w:tcPr/>
          <w:p>
            <w:pPr>
              <w:pStyle w:val="Compact"/>
              <w:jc w:val="right"/>
            </w:pPr>
            <w:r>
              <w:t xml:space="preserve">1,961,540 JPY</w:t>
            </w:r>
          </w:p>
        </w:tc>
      </w:tr>
    </w:tbl>
    <w:p>
      <w:pPr>
        <w:pStyle w:val="BodyText"/>
      </w:pPr>
      <w:r>
        <w:rPr>
          <w:bCs/>
          <w:b/>
        </w:rPr>
        <w:t xml:space="preserve">Note:</w:t>
      </w:r>
      <w:r>
        <w:t xml:space="preserve"> </w:t>
      </w:r>
      <w:r>
        <w:t xml:space="preserve">All items listed in this Purchase Order are intended for the professional hairdresser operations of Kyoto Kaminari Hairdresser Studio. The hairdresser team in Kyoto requires these supplies to maintain the highest standard of service for clients visiting our Gion district location. Delivery must be coordinated with the salon's operating hours (10:00 AM – 7:00 PM JST) to avoid disruption to the hairdresser's daily client appointments.</w:t>
      </w:r>
    </w:p>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Kyoto Kaminari Hairdresser Studio, a registered hairdresser and beauty salon business operating in Higashiyama-ku, Kyoto, Japan, and is binding upon acceptance by the supplier.</w:t>
      </w:r>
    </w:p>
    <w:p>
      <w:pPr>
        <w:numPr>
          <w:ilvl w:val="0"/>
          <w:numId w:val="1001"/>
        </w:numPr>
        <w:pStyle w:val="Compact"/>
      </w:pPr>
      <w:r>
        <w:t xml:space="preserve">All hairdresser equipment and professional products listed herein must meet Japanese Industrial Standards (JIS) for electrical safety and cosmetic product regulations as enforced by the Ministry of Health, Labour and Welfare of Japan.</w:t>
      </w:r>
    </w:p>
    <w:p>
      <w:pPr>
        <w:numPr>
          <w:ilvl w:val="0"/>
          <w:numId w:val="1001"/>
        </w:numPr>
        <w:pStyle w:val="Compact"/>
      </w:pPr>
      <w:r>
        <w:t xml:space="preserve">Delivery of all items under this Purchase Order shall be made to the hairdresser studio address in Kyoto specified above. The supplier is responsible for all transportation, insurance, and risk of loss until the goods are received and inspected at the Kyoto hairdresser premises.</w:t>
      </w:r>
    </w:p>
    <w:p>
      <w:pPr>
        <w:numPr>
          <w:ilvl w:val="0"/>
          <w:numId w:val="1001"/>
        </w:numPr>
        <w:pStyle w:val="Compact"/>
      </w:pPr>
      <w:r>
        <w:t xml:space="preserve">The hairdresser studio reserves the right to inspect all delivered goods within five (5) business days of receipt. Any items found to be defective, damaged, or not conforming to the specifications in this Purchase Order must be replaced or refunded at the supplier's expense within ten (10) business days.</w:t>
      </w:r>
    </w:p>
    <w:p>
      <w:pPr>
        <w:numPr>
          <w:ilvl w:val="0"/>
          <w:numId w:val="1001"/>
        </w:numPr>
        <w:pStyle w:val="Compact"/>
      </w:pPr>
      <w:r>
        <w:t xml:space="preserve">Payment of the total amount of 1,961,540 JPY shall be made via bank transfer to the supplier's designated account within thirty (30) days of the invoice date, in accordance with the Net 30 payment terms stated in this Purchase Order.</w:t>
      </w:r>
    </w:p>
    <w:p>
      <w:pPr>
        <w:numPr>
          <w:ilvl w:val="0"/>
          <w:numId w:val="1001"/>
        </w:numPr>
        <w:pStyle w:val="Compact"/>
      </w:pPr>
      <w:r>
        <w:t xml:space="preserve">The supplier warrants that all hairdresser tools, styling equipment, and professional hair products are new, unused, and free from defects in materials and workmanship for a period of twelve (12) months from the date of delivery to the Kyoto hairdresser studio.</w:t>
      </w:r>
    </w:p>
    <w:p>
      <w:pPr>
        <w:numPr>
          <w:ilvl w:val="0"/>
          <w:numId w:val="1001"/>
        </w:numPr>
        <w:pStyle w:val="Compact"/>
      </w:pPr>
      <w:r>
        <w:t xml:space="preserve">Any modifications, cancellations, or amendments to this Purchase Order must be made in writing and signed by both the representative of the Kyoto hairdresser studio and the authorized agent of the supplier. Verbal agreements are not binding.</w:t>
      </w:r>
    </w:p>
    <w:p>
      <w:pPr>
        <w:numPr>
          <w:ilvl w:val="0"/>
          <w:numId w:val="1001"/>
        </w:numPr>
        <w:pStyle w:val="Compact"/>
      </w:pPr>
      <w:r>
        <w:t xml:space="preserve">This Purchase Order shall be governed by and construed in accordance with the laws of Japan. Any disputes arising from this Purchase Order related to the hairdresser supply transaction in Kyoto shall be resolved through the Kyoto District Court.</w:t>
      </w:r>
    </w:p>
    <w:p>
      <w:pPr>
        <w:numPr>
          <w:ilvl w:val="0"/>
          <w:numId w:val="1001"/>
        </w:numPr>
        <w:pStyle w:val="Compact"/>
      </w:pPr>
      <w:r>
        <w:t xml:space="preserve">The supplier acknowledges that the hairdresser studio in Kyoto operates as a cultural and tourism-oriented business serving both local Kyoto residents and international visitors, and all branded materials or packaging delivered must be appropriate for a professional salon environment in the historic Gion district of Kyoto.</w:t>
      </w:r>
    </w:p>
    <w:bookmarkEnd w:id="25"/>
    <w:p>
      <w:pPr>
        <w:pStyle w:val="FirstParagraph"/>
      </w:pPr>
      <w:r>
        <w:rPr>
          <w:bCs/>
          <w:b/>
        </w:rPr>
        <w:t xml:space="preserve">Authorized by (Purchaser):</w:t>
      </w:r>
    </w:p>
    <w:p>
      <w:pPr>
        <w:pStyle w:val="BodyText"/>
      </w:pPr>
      <w:r>
        <w:t xml:space="preserve">Tanaka Yuki</w:t>
      </w:r>
    </w:p>
    <w:p>
      <w:pPr>
        <w:pStyle w:val="BodyText"/>
      </w:pPr>
      <w:r>
        <w:t xml:space="preserve">Senior Hairdresser &amp; Owner</w:t>
      </w:r>
    </w:p>
    <w:p>
      <w:pPr>
        <w:pStyle w:val="BodyText"/>
      </w:pPr>
      <w:r>
        <w:t xml:space="preserve">Kyoto Kaminari Hairdresser Studio</w:t>
      </w:r>
    </w:p>
    <w:p>
      <w:pPr>
        <w:pStyle w:val="BodyText"/>
      </w:pPr>
      <w:r>
        <w:t xml:space="preserve">Signature &amp; Date</w:t>
      </w:r>
    </w:p>
    <w:p>
      <w:pPr>
        <w:pStyle w:val="BodyText"/>
      </w:pPr>
      <w:r>
        <w:rPr>
          <w:bCs/>
          <w:b/>
        </w:rPr>
        <w:t xml:space="preserve">Accepted by (Supplier):</w:t>
      </w:r>
    </w:p>
    <w:p>
      <w:pPr>
        <w:pStyle w:val="BodyText"/>
      </w:pPr>
      <w:r>
        <w:t xml:space="preserve">Sato Hiroshi</w:t>
      </w:r>
    </w:p>
    <w:p>
      <w:pPr>
        <w:pStyle w:val="BodyText"/>
      </w:pPr>
      <w:r>
        <w:t xml:space="preserve">Regional Sales Manager</w:t>
      </w:r>
    </w:p>
    <w:p>
      <w:pPr>
        <w:pStyle w:val="BodyText"/>
      </w:pPr>
      <w:r>
        <w:t xml:space="preserve">Shin-Ei Professional Hair Products Co., Ltd.</w:t>
      </w:r>
    </w:p>
    <w:p>
      <w:pPr>
        <w:pStyle w:val="BodyText"/>
      </w:pPr>
      <w:r>
        <w:t xml:space="preserve">Signature &amp; Date</w:t>
      </w:r>
    </w:p>
    <w:p>
      <w:pPr>
        <w:pStyle w:val="BodyText"/>
      </w:pPr>
      <w:r>
        <w:t xml:space="preserve">Purchase Order KYO-HD-2025-0487 — Kyoto Kaminari Hairdresser Studio — Japan, Kyoto</w:t>
      </w:r>
    </w:p>
    <w:p>
      <w:pPr>
        <w:pStyle w:val="BodyText"/>
      </w:pPr>
      <w:r>
        <w:t xml:space="preserve">This document is a formal Purchase Order for hairdresser professional supplies. All references to the hairdresser business, the city of Kyoto, and the nation of Japan are integral to the scope and jurisdiction of this order.</w:t>
      </w:r>
    </w:p>
    <w:p>
      <w:pPr>
        <w:pStyle w:val="BodyText"/>
      </w:pPr>
      <w:r>
        <w:t xml:space="preserve">Generated: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Kyoto, Japan</dc:title>
  <dc:creator/>
  <dc:language>en</dc:language>
  <cp:keywords/>
  <dcterms:created xsi:type="dcterms:W3CDTF">2026-10-10T04:36:02Z</dcterms:created>
  <dcterms:modified xsi:type="dcterms:W3CDTF">2026-10-10T04:36:02Z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