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Supply</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Professional Hairdresser Equipment &amp; Supply Procurement</w:t>
      </w:r>
    </w:p>
    <w:p>
      <w:pPr>
        <w:pStyle w:val="BodyText"/>
      </w:pPr>
      <w:r>
        <w:t xml:space="preserve">Japan Tokyo Metropolitan Region</w:t>
      </w:r>
    </w:p>
    <w:p>
      <w:pPr>
        <w:pStyle w:val="BodyText"/>
      </w:pPr>
      <w:r>
        <w:t xml:space="preserve">PO No. JPT-2025-HD-04872</w:t>
      </w:r>
    </w:p>
    <w:p>
      <w:pPr>
        <w:pStyle w:val="BodyText"/>
      </w:pPr>
      <w:r>
        <w:t xml:space="preserve">Date of Issue: June 12, 2025</w:t>
      </w:r>
    </w:p>
    <w:p>
      <w:pPr>
        <w:pStyle w:val="BodyText"/>
      </w:pPr>
      <w:r>
        <w:t xml:space="preserve">Delivery Deadline: July 15,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Sakura Style Hairdresser Co., Ltd.</w:t>
      </w:r>
    </w:p>
    <w:p>
      <w:pPr>
        <w:pStyle w:val="BodyText"/>
      </w:pPr>
      <w:r>
        <w:rPr>
          <w:bCs/>
          <w:b/>
        </w:rPr>
        <w:t xml:space="preserve">Address:</w:t>
      </w:r>
      <w:r>
        <w:t xml:space="preserve"> </w:t>
      </w:r>
      <w:r>
        <w:t xml:space="preserve">4-2-18 Shibuya, Shibuya-ku, Tokyo 150-0002, Japan</w:t>
      </w:r>
    </w:p>
    <w:p>
      <w:pPr>
        <w:pStyle w:val="BodyText"/>
      </w:pPr>
      <w:r>
        <w:rPr>
          <w:bCs/>
          <w:b/>
        </w:rPr>
        <w:t xml:space="preserve">Phone:</w:t>
      </w:r>
      <w:r>
        <w:t xml:space="preserve"> </w:t>
      </w:r>
      <w:r>
        <w:t xml:space="preserve">+81-3-5411-7820</w:t>
      </w:r>
    </w:p>
    <w:p>
      <w:pPr>
        <w:pStyle w:val="BodyText"/>
      </w:pPr>
      <w:r>
        <w:rPr>
          <w:bCs/>
          <w:b/>
        </w:rPr>
        <w:t xml:space="preserve">Email:</w:t>
      </w:r>
      <w:r>
        <w:t xml:space="preserve"> </w:t>
      </w:r>
      <w:r>
        <w:t xml:space="preserve">procurement@sakurastyle-hd.jp</w:t>
      </w:r>
    </w:p>
    <w:p>
      <w:pPr>
        <w:pStyle w:val="BodyText"/>
      </w:pPr>
      <w:r>
        <w:rPr>
          <w:bCs/>
          <w:b/>
        </w:rPr>
        <w:t xml:space="preserve">Representative:</w:t>
      </w:r>
      <w:r>
        <w:t xml:space="preserve"> </w:t>
      </w:r>
      <w:r>
        <w:t xml:space="preserve">Kenji Tanaka, General Manager</w:t>
      </w:r>
    </w:p>
    <w:p>
      <w:pPr>
        <w:pStyle w:val="BodyText"/>
      </w:pPr>
      <w:r>
        <w:rPr>
          <w:bCs/>
          <w:b/>
        </w:rPr>
        <w:t xml:space="preserve">Registration No.:</w:t>
      </w:r>
      <w:r>
        <w:t xml:space="preserve"> </w:t>
      </w:r>
      <w:r>
        <w:t xml:space="preserve">4010401234567</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Tokyo Pro Hair Supply International K.K.</w:t>
      </w:r>
    </w:p>
    <w:p>
      <w:pPr>
        <w:pStyle w:val="BodyText"/>
      </w:pPr>
      <w:r>
        <w:rPr>
          <w:bCs/>
          <w:b/>
        </w:rPr>
        <w:t xml:space="preserve">Address:</w:t>
      </w:r>
      <w:r>
        <w:t xml:space="preserve"> </w:t>
      </w:r>
      <w:r>
        <w:t xml:space="preserve">2-15-3 Nihonbashi, Chuo-ku, Tokyo 103-0027, Japan</w:t>
      </w:r>
    </w:p>
    <w:p>
      <w:pPr>
        <w:pStyle w:val="BodyText"/>
      </w:pPr>
      <w:r>
        <w:rPr>
          <w:bCs/>
          <w:b/>
        </w:rPr>
        <w:t xml:space="preserve">Phone:</w:t>
      </w:r>
      <w:r>
        <w:t xml:space="preserve"> </w:t>
      </w:r>
      <w:r>
        <w:t xml:space="preserve">+81-3-6263-4410</w:t>
      </w:r>
    </w:p>
    <w:p>
      <w:pPr>
        <w:pStyle w:val="BodyText"/>
      </w:pPr>
      <w:r>
        <w:rPr>
          <w:bCs/>
          <w:b/>
        </w:rPr>
        <w:t xml:space="preserve">Email:</w:t>
      </w:r>
      <w:r>
        <w:t xml:space="preserve"> </w:t>
      </w:r>
      <w:r>
        <w:t xml:space="preserve">sales@tokyoprohair.jp</w:t>
      </w:r>
    </w:p>
    <w:p>
      <w:pPr>
        <w:pStyle w:val="BodyText"/>
      </w:pPr>
      <w:r>
        <w:rPr>
          <w:bCs/>
          <w:b/>
        </w:rPr>
        <w:t xml:space="preserve">Representative:</w:t>
      </w:r>
      <w:r>
        <w:t xml:space="preserve"> </w:t>
      </w:r>
      <w:r>
        <w:t xml:space="preserve">Yuki Yamamoto, Sales Director</w:t>
      </w:r>
    </w:p>
    <w:p>
      <w:pPr>
        <w:pStyle w:val="BodyText"/>
      </w:pPr>
      <w:r>
        <w:rPr>
          <w:bCs/>
          <w:b/>
        </w:rPr>
        <w:t xml:space="preserve">Registration No.:</w:t>
      </w:r>
      <w:r>
        <w:t xml:space="preserve"> </w:t>
      </w:r>
      <w:r>
        <w:t xml:space="preserve">4010409876543</w:t>
      </w:r>
    </w:p>
    <w:bookmarkEnd w:id="22"/>
    <w:p>
      <w:pPr>
        <w:pStyle w:val="BodyText"/>
      </w:pPr>
      <w:r>
        <w:t xml:space="preserve">Order Details – Hairdresser Professional Equipment &amp; Consumables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Professional Ceramic Hair Dryer, 2400W, Ionic Technology (for Hairdresser stations)</w:t>
            </w:r>
          </w:p>
        </w:tc>
        <w:tc>
          <w:tcPr/>
          <w:p>
            <w:pPr>
              <w:pStyle w:val="Compact"/>
              <w:jc w:val="left"/>
            </w:pPr>
            <w:r>
              <w:t xml:space="preserve">Equipment</w:t>
            </w:r>
          </w:p>
        </w:tc>
        <w:tc>
          <w:tcPr/>
          <w:p>
            <w:pPr>
              <w:pStyle w:val="Compact"/>
              <w:jc w:val="left"/>
            </w:pPr>
            <w:r>
              <w:t xml:space="preserve">12</w:t>
            </w:r>
          </w:p>
        </w:tc>
        <w:tc>
          <w:tcPr/>
          <w:p>
            <w:pPr>
              <w:pStyle w:val="Compact"/>
              <w:jc w:val="left"/>
            </w:pPr>
            <w:r>
              <w:t xml:space="preserve">Unit</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002</w:t>
            </w:r>
          </w:p>
        </w:tc>
        <w:tc>
          <w:tcPr/>
          <w:p>
            <w:pPr>
              <w:pStyle w:val="Compact"/>
              <w:jc w:val="left"/>
            </w:pPr>
            <w:r>
              <w:t xml:space="preserve">Titanium Flat Iron, 110mm, Auto Temperature Control (Hairdresser styling tool)</w:t>
            </w:r>
          </w:p>
        </w:tc>
        <w:tc>
          <w:tcPr/>
          <w:p>
            <w:pPr>
              <w:pStyle w:val="Compact"/>
              <w:jc w:val="left"/>
            </w:pPr>
            <w:r>
              <w:t xml:space="preserve">Equipment</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32,800</w:t>
            </w:r>
          </w:p>
        </w:tc>
        <w:tc>
          <w:tcPr/>
          <w:p>
            <w:pPr>
              <w:pStyle w:val="Compact"/>
              <w:jc w:val="left"/>
            </w:pPr>
            <w:r>
              <w:t xml:space="preserve">328,000</w:t>
            </w:r>
          </w:p>
        </w:tc>
      </w:tr>
      <w:tr>
        <w:tc>
          <w:tcPr/>
          <w:p>
            <w:pPr>
              <w:pStyle w:val="Compact"/>
              <w:jc w:val="left"/>
            </w:pPr>
            <w:r>
              <w:t xml:space="preserve">003</w:t>
            </w:r>
          </w:p>
        </w:tc>
        <w:tc>
          <w:tcPr/>
          <w:p>
            <w:pPr>
              <w:pStyle w:val="Compact"/>
              <w:jc w:val="left"/>
            </w:pPr>
            <w:r>
              <w:t xml:space="preserve">Professional Hair Cutting Scissors Set, 6-inch &amp; 7-inch, Japanese Steel</w:t>
            </w:r>
          </w:p>
        </w:tc>
        <w:tc>
          <w:tcPr/>
          <w:p>
            <w:pPr>
              <w:pStyle w:val="Compact"/>
              <w:jc w:val="left"/>
            </w:pPr>
            <w:r>
              <w:t xml:space="preserve">Tools</w:t>
            </w:r>
          </w:p>
        </w:tc>
        <w:tc>
          <w:tcPr/>
          <w:p>
            <w:pPr>
              <w:pStyle w:val="Compact"/>
              <w:jc w:val="left"/>
            </w:pPr>
            <w:r>
              <w:t xml:space="preserve">15</w:t>
            </w:r>
          </w:p>
        </w:tc>
        <w:tc>
          <w:tcPr/>
          <w:p>
            <w:pPr>
              <w:pStyle w:val="Compact"/>
              <w:jc w:val="left"/>
            </w:pPr>
            <w:r>
              <w:t xml:space="preserve">Set</w:t>
            </w:r>
          </w:p>
        </w:tc>
        <w:tc>
          <w:tcPr/>
          <w:p>
            <w:pPr>
              <w:pStyle w:val="Compact"/>
              <w:jc w:val="left"/>
            </w:pPr>
            <w:r>
              <w:t xml:space="preserve">28,400</w:t>
            </w:r>
          </w:p>
        </w:tc>
        <w:tc>
          <w:tcPr/>
          <w:p>
            <w:pPr>
              <w:pStyle w:val="Compact"/>
              <w:jc w:val="left"/>
            </w:pPr>
            <w:r>
              <w:t xml:space="preserve">426,000</w:t>
            </w:r>
          </w:p>
        </w:tc>
      </w:tr>
      <w:tr>
        <w:tc>
          <w:tcPr/>
          <w:p>
            <w:pPr>
              <w:pStyle w:val="Compact"/>
              <w:jc w:val="left"/>
            </w:pPr>
            <w:r>
              <w:t xml:space="preserve">004</w:t>
            </w:r>
          </w:p>
        </w:tc>
        <w:tc>
          <w:tcPr/>
          <w:p>
            <w:pPr>
              <w:pStyle w:val="Compact"/>
              <w:jc w:val="left"/>
            </w:pPr>
            <w:r>
              <w:t xml:space="preserve">Ammonia-Free Permanent Hair Color, Full Range (24 shades), 1000ml</w:t>
            </w:r>
          </w:p>
        </w:tc>
        <w:tc>
          <w:tcPr/>
          <w:p>
            <w:pPr>
              <w:pStyle w:val="Compact"/>
              <w:jc w:val="left"/>
            </w:pPr>
            <w:r>
              <w:t xml:space="preserve">Consumable</w:t>
            </w:r>
          </w:p>
        </w:tc>
        <w:tc>
          <w:tcPr/>
          <w:p>
            <w:pPr>
              <w:pStyle w:val="Compact"/>
              <w:jc w:val="left"/>
            </w:pPr>
            <w:r>
              <w:t xml:space="preserve">60</w:t>
            </w:r>
          </w:p>
        </w:tc>
        <w:tc>
          <w:tcPr/>
          <w:p>
            <w:pPr>
              <w:pStyle w:val="Compact"/>
              <w:jc w:val="left"/>
            </w:pPr>
            <w:r>
              <w:t xml:space="preserve">Bottle</w:t>
            </w:r>
          </w:p>
        </w:tc>
        <w:tc>
          <w:tcPr/>
          <w:p>
            <w:pPr>
              <w:pStyle w:val="Compact"/>
              <w:jc w:val="left"/>
            </w:pPr>
            <w:r>
              <w:t xml:space="preserve">6,200</w:t>
            </w:r>
          </w:p>
        </w:tc>
        <w:tc>
          <w:tcPr/>
          <w:p>
            <w:pPr>
              <w:pStyle w:val="Compact"/>
              <w:jc w:val="left"/>
            </w:pPr>
            <w:r>
              <w:t xml:space="preserve">372,000</w:t>
            </w:r>
          </w:p>
        </w:tc>
      </w:tr>
      <w:tr>
        <w:tc>
          <w:tcPr/>
          <w:p>
            <w:pPr>
              <w:pStyle w:val="Compact"/>
              <w:jc w:val="left"/>
            </w:pPr>
            <w:r>
              <w:t xml:space="preserve">005</w:t>
            </w:r>
          </w:p>
        </w:tc>
        <w:tc>
          <w:tcPr/>
          <w:p>
            <w:pPr>
              <w:pStyle w:val="Compact"/>
              <w:jc w:val="left"/>
            </w:pPr>
            <w:r>
              <w:t xml:space="preserve">Professional Hair Treatment Serum, Keratin Repair Formula, 500ml</w:t>
            </w:r>
          </w:p>
        </w:tc>
        <w:tc>
          <w:tcPr/>
          <w:p>
            <w:pPr>
              <w:pStyle w:val="Compact"/>
              <w:jc w:val="left"/>
            </w:pPr>
            <w:r>
              <w:t xml:space="preserve">Consumable</w:t>
            </w:r>
          </w:p>
        </w:tc>
        <w:tc>
          <w:tcPr/>
          <w:p>
            <w:pPr>
              <w:pStyle w:val="Compact"/>
              <w:jc w:val="left"/>
            </w:pPr>
            <w:r>
              <w:t xml:space="preserve">40</w:t>
            </w:r>
          </w:p>
        </w:tc>
        <w:tc>
          <w:tcPr/>
          <w:p>
            <w:pPr>
              <w:pStyle w:val="Compact"/>
              <w:jc w:val="left"/>
            </w:pPr>
            <w:r>
              <w:t xml:space="preserve">Bottle</w:t>
            </w:r>
          </w:p>
        </w:tc>
        <w:tc>
          <w:tcPr/>
          <w:p>
            <w:pPr>
              <w:pStyle w:val="Compact"/>
              <w:jc w:val="left"/>
            </w:pPr>
            <w:r>
              <w:t xml:space="preserve">4,800</w:t>
            </w:r>
          </w:p>
        </w:tc>
        <w:tc>
          <w:tcPr/>
          <w:p>
            <w:pPr>
              <w:pStyle w:val="Compact"/>
              <w:jc w:val="left"/>
            </w:pPr>
            <w:r>
              <w:t xml:space="preserve">192,000</w:t>
            </w:r>
          </w:p>
        </w:tc>
      </w:tr>
      <w:tr>
        <w:tc>
          <w:tcPr/>
          <w:p>
            <w:pPr>
              <w:pStyle w:val="Compact"/>
              <w:jc w:val="left"/>
            </w:pPr>
            <w:r>
              <w:t xml:space="preserve">006</w:t>
            </w:r>
          </w:p>
        </w:tc>
        <w:tc>
          <w:tcPr/>
          <w:p>
            <w:pPr>
              <w:pStyle w:val="Compact"/>
              <w:jc w:val="left"/>
            </w:pPr>
            <w:r>
              <w:t xml:space="preserve">Hydraulic Hairdresser Styling Chair, Leather, Adjustable Height</w:t>
            </w:r>
          </w:p>
        </w:tc>
        <w:tc>
          <w:tcPr/>
          <w:p>
            <w:pPr>
              <w:pStyle w:val="Compact"/>
              <w:jc w:val="left"/>
            </w:pPr>
            <w:r>
              <w:t xml:space="preserve">Furniture</w:t>
            </w:r>
          </w:p>
        </w:tc>
        <w:tc>
          <w:tcPr/>
          <w:p>
            <w:pPr>
              <w:pStyle w:val="Compact"/>
              <w:jc w:val="left"/>
            </w:pPr>
            <w:r>
              <w:t xml:space="preserve">8</w:t>
            </w:r>
          </w:p>
        </w:tc>
        <w:tc>
          <w:tcPr/>
          <w:p>
            <w:pPr>
              <w:pStyle w:val="Compact"/>
              <w:jc w:val="left"/>
            </w:pPr>
            <w:r>
              <w:t xml:space="preserve">Unit</w:t>
            </w:r>
          </w:p>
        </w:tc>
        <w:tc>
          <w:tcPr/>
          <w:p>
            <w:pPr>
              <w:pStyle w:val="Compact"/>
              <w:jc w:val="left"/>
            </w:pPr>
            <w:r>
              <w:t xml:space="preserve">85,000</w:t>
            </w:r>
          </w:p>
        </w:tc>
        <w:tc>
          <w:tcPr/>
          <w:p>
            <w:pPr>
              <w:pStyle w:val="Compact"/>
              <w:jc w:val="left"/>
            </w:pPr>
            <w:r>
              <w:t xml:space="preserve">680,000</w:t>
            </w:r>
          </w:p>
        </w:tc>
      </w:tr>
      <w:tr>
        <w:tc>
          <w:tcPr/>
          <w:p>
            <w:pPr>
              <w:pStyle w:val="Compact"/>
              <w:jc w:val="left"/>
            </w:pPr>
            <w:r>
              <w:t xml:space="preserve">007</w:t>
            </w:r>
          </w:p>
        </w:tc>
        <w:tc>
          <w:tcPr/>
          <w:p>
            <w:pPr>
              <w:pStyle w:val="Compact"/>
              <w:jc w:val="left"/>
            </w:pPr>
            <w:r>
              <w:t xml:space="preserve">Washing Basin Unit with Neck Rest, Stainless Steel, Japan Tokyo Standard</w:t>
            </w:r>
          </w:p>
        </w:tc>
        <w:tc>
          <w:tcPr/>
          <w:p>
            <w:pPr>
              <w:pStyle w:val="Compact"/>
              <w:jc w:val="left"/>
            </w:pPr>
            <w:r>
              <w:t xml:space="preserve">Furniture</w:t>
            </w:r>
          </w:p>
        </w:tc>
        <w:tc>
          <w:tcPr/>
          <w:p>
            <w:pPr>
              <w:pStyle w:val="Compact"/>
              <w:jc w:val="left"/>
            </w:pPr>
            <w:r>
              <w:t xml:space="preserve">6</w:t>
            </w:r>
          </w:p>
        </w:tc>
        <w:tc>
          <w:tcPr/>
          <w:p>
            <w:pPr>
              <w:pStyle w:val="Compact"/>
              <w:jc w:val="left"/>
            </w:pPr>
            <w:r>
              <w:t xml:space="preserve">Unit</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008</w:t>
            </w:r>
          </w:p>
        </w:tc>
        <w:tc>
          <w:tcPr/>
          <w:p>
            <w:pPr>
              <w:pStyle w:val="Compact"/>
              <w:jc w:val="left"/>
            </w:pPr>
            <w:r>
              <w:t xml:space="preserve">Professional Hair Clipper, Cordless, 5-Speed, with 8 Guide Combs</w:t>
            </w:r>
          </w:p>
        </w:tc>
        <w:tc>
          <w:tcPr/>
          <w:p>
            <w:pPr>
              <w:pStyle w:val="Compact"/>
              <w:jc w:val="left"/>
            </w:pPr>
            <w:r>
              <w:t xml:space="preserve">Equipment</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009</w:t>
            </w:r>
          </w:p>
        </w:tc>
        <w:tc>
          <w:tcPr/>
          <w:p>
            <w:pPr>
              <w:pStyle w:val="Compact"/>
              <w:jc w:val="left"/>
            </w:pPr>
            <w:r>
              <w:t xml:space="preserve">Disposable Hairdresser Capes &amp; Towels (Pack of 100), Premium Cotton</w:t>
            </w:r>
          </w:p>
        </w:tc>
        <w:tc>
          <w:tcPr/>
          <w:p>
            <w:pPr>
              <w:pStyle w:val="Compact"/>
              <w:jc w:val="left"/>
            </w:pPr>
            <w:r>
              <w:t xml:space="preserve">Consumable</w:t>
            </w:r>
          </w:p>
        </w:tc>
        <w:tc>
          <w:tcPr/>
          <w:p>
            <w:pPr>
              <w:pStyle w:val="Compact"/>
              <w:jc w:val="left"/>
            </w:pPr>
            <w:r>
              <w:t xml:space="preserve">20</w:t>
            </w:r>
          </w:p>
        </w:tc>
        <w:tc>
          <w:tcPr/>
          <w:p>
            <w:pPr>
              <w:pStyle w:val="Compact"/>
              <w:jc w:val="left"/>
            </w:pPr>
            <w:r>
              <w:t xml:space="preserve">Pack</w:t>
            </w:r>
          </w:p>
        </w:tc>
        <w:tc>
          <w:tcPr/>
          <w:p>
            <w:pPr>
              <w:pStyle w:val="Compact"/>
              <w:jc w:val="left"/>
            </w:pPr>
            <w:r>
              <w:t xml:space="preserve">3,200</w:t>
            </w:r>
          </w:p>
        </w:tc>
        <w:tc>
          <w:tcPr/>
          <w:p>
            <w:pPr>
              <w:pStyle w:val="Compact"/>
              <w:jc w:val="left"/>
            </w:pPr>
            <w:r>
              <w:t xml:space="preserve">64,000</w:t>
            </w:r>
          </w:p>
        </w:tc>
      </w:tr>
      <w:tr>
        <w:tc>
          <w:tcPr/>
          <w:p>
            <w:pPr>
              <w:pStyle w:val="Compact"/>
              <w:jc w:val="left"/>
            </w:pPr>
            <w:r>
              <w:t xml:space="preserve">010</w:t>
            </w:r>
          </w:p>
        </w:tc>
        <w:tc>
          <w:tcPr/>
          <w:p>
            <w:pPr>
              <w:pStyle w:val="Compact"/>
              <w:jc w:val="left"/>
            </w:pPr>
            <w:r>
              <w:t xml:space="preserve">UV Sterilizer Cabinet for Hairdresser Tools, 40L Capacity</w:t>
            </w:r>
          </w:p>
        </w:tc>
        <w:tc>
          <w:tcPr/>
          <w:p>
            <w:pPr>
              <w:pStyle w:val="Compact"/>
              <w:jc w:val="left"/>
            </w:pPr>
            <w:r>
              <w:t xml:space="preserve">Equipment</w:t>
            </w:r>
          </w:p>
        </w:tc>
        <w:tc>
          <w:tcPr/>
          <w:p>
            <w:pPr>
              <w:pStyle w:val="Compact"/>
              <w:jc w:val="left"/>
            </w:pPr>
            <w:r>
              <w:t xml:space="preserve">4</w:t>
            </w:r>
          </w:p>
        </w:tc>
        <w:tc>
          <w:tcPr/>
          <w:p>
            <w:pPr>
              <w:pStyle w:val="Compact"/>
              <w:jc w:val="left"/>
            </w:pPr>
            <w:r>
              <w:t xml:space="preserve">Unit</w:t>
            </w:r>
          </w:p>
        </w:tc>
        <w:tc>
          <w:tcPr/>
          <w:p>
            <w:pPr>
              <w:pStyle w:val="Compact"/>
              <w:jc w:val="left"/>
            </w:pPr>
            <w:r>
              <w:t xml:space="preserve">42,000</w:t>
            </w:r>
          </w:p>
        </w:tc>
        <w:tc>
          <w:tcPr/>
          <w:p>
            <w:pPr>
              <w:pStyle w:val="Compact"/>
              <w:jc w:val="left"/>
            </w:pPr>
            <w:r>
              <w:t xml:space="preserve">168,000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3,717,000 JPY</w:t>
            </w:r>
          </w:p>
        </w:tc>
      </w:tr>
      <w:tr>
        <w:tc>
          <w:tcPr/>
          <w:p>
            <w:pPr>
              <w:pStyle w:val="Compact"/>
              <w:jc w:val="left"/>
            </w:pPr>
            <w:r>
              <w:t xml:space="preserve">Consumption Tax (10%)</w:t>
            </w:r>
          </w:p>
        </w:tc>
        <w:tc>
          <w:tcPr/>
          <w:p>
            <w:pPr>
              <w:pStyle w:val="Compact"/>
              <w:jc w:val="right"/>
            </w:pPr>
            <w:r>
              <w:t xml:space="preserve">371,700 JPY</w:t>
            </w:r>
          </w:p>
        </w:tc>
      </w:tr>
      <w:tr>
        <w:tc>
          <w:tcPr/>
          <w:p>
            <w:pPr>
              <w:pStyle w:val="Compact"/>
              <w:jc w:val="left"/>
            </w:pPr>
            <w:r>
              <w:t xml:space="preserve">Delivery &amp; Installation Fee (Tokyo Metro Area)</w:t>
            </w:r>
          </w:p>
        </w:tc>
        <w:tc>
          <w:tcPr/>
          <w:p>
            <w:pPr>
              <w:pStyle w:val="Compact"/>
              <w:jc w:val="right"/>
            </w:pPr>
            <w:r>
              <w:t xml:space="preserve">85,000 JPY</w:t>
            </w:r>
          </w:p>
        </w:tc>
      </w:tr>
      <w:tr>
        <w:tc>
          <w:tcPr/>
          <w:p>
            <w:pPr>
              <w:pStyle w:val="Compact"/>
              <w:jc w:val="left"/>
            </w:pPr>
            <w:r>
              <w:t xml:space="preserve">Grand Total</w:t>
            </w:r>
          </w:p>
        </w:tc>
        <w:tc>
          <w:tcPr/>
          <w:p>
            <w:pPr>
              <w:pStyle w:val="Compact"/>
              <w:jc w:val="right"/>
            </w:pPr>
            <w:r>
              <w:t xml:space="preserve">4,173,700 JPY</w:t>
            </w:r>
          </w:p>
        </w:tc>
      </w:tr>
    </w:tbl>
    <w:p>
      <w:pPr>
        <w:pStyle w:val="BodyText"/>
      </w:pPr>
      <w:r>
        <w:rPr>
          <w:bCs/>
          <w:b/>
        </w:rPr>
        <w:t xml:space="preserve">Note:</w:t>
      </w:r>
      <w:r>
        <w:t xml:space="preserve"> </w:t>
      </w:r>
      <w:r>
        <w:t xml:space="preserve">All items listed in this Purchase Order are intended for the professional Hairdresser salon operations of Sakura Style Hairdresser Co., Ltd. located in the Shibuya district of Japan Tokyo. The supplier shall ensure that all equipment meets the Japanese Industrial Standards (JIS) and complies with the Ministry of Health, Labour and Welfare regulations applicable to hairdresser establishments in the Tokyo metropolitan area.</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shall be made within 30 days from the date of invoice issuance via bank transfer to the supplier's designated account in Japan Tokyo. The total amount of this Purchase Order is 4,173,700 JPY (Four Million One Hundred Seventy-Three Thousand Seven Hundred Yen).</w:t>
      </w:r>
    </w:p>
    <w:p>
      <w:pPr>
        <w:numPr>
          <w:ilvl w:val="0"/>
          <w:numId w:val="1001"/>
        </w:numPr>
        <w:pStyle w:val="Compact"/>
      </w:pPr>
      <w:r>
        <w:rPr>
          <w:bCs/>
          <w:b/>
        </w:rPr>
        <w:t xml:space="preserve">Delivery:</w:t>
      </w:r>
      <w:r>
        <w:t xml:space="preserve"> </w:t>
      </w:r>
      <w:r>
        <w:t xml:space="preserve">The supplier shall deliver all goods to the Hairdresser premises at 4-2-18 Shibuya, Shibuya-ku, Tokyo, Japan, no later than July 15, 2025. Delivery shall include full installation of all furniture and equipment items. The supplier is responsible for all transportation costs within the Japan Tokyo metropolitan area.</w:t>
      </w:r>
    </w:p>
    <w:p>
      <w:pPr>
        <w:numPr>
          <w:ilvl w:val="0"/>
          <w:numId w:val="1001"/>
        </w:numPr>
        <w:pStyle w:val="Compact"/>
      </w:pPr>
      <w:r>
        <w:rPr>
          <w:bCs/>
          <w:b/>
        </w:rPr>
        <w:t xml:space="preserve">Quality Assurance:</w:t>
      </w:r>
      <w:r>
        <w:t xml:space="preserve"> </w:t>
      </w:r>
      <w:r>
        <w:t xml:space="preserve">All Hairdresser tools, equipment, and consumables must be new, unused, and in original packaging. The supplier warrants that all items conform to the specifications outlined in this Purchase Order and meet applicable Japanese safety and quality standards for professional hairdresser use.</w:t>
      </w:r>
    </w:p>
    <w:p>
      <w:pPr>
        <w:numPr>
          <w:ilvl w:val="0"/>
          <w:numId w:val="1001"/>
        </w:numPr>
        <w:pStyle w:val="Compact"/>
      </w:pPr>
      <w:r>
        <w:rPr>
          <w:bCs/>
          <w:b/>
        </w:rPr>
        <w:t xml:space="preserve">Warranty:</w:t>
      </w:r>
      <w:r>
        <w:t xml:space="preserve"> </w:t>
      </w:r>
      <w:r>
        <w:t xml:space="preserve">All electrical equipment (hair dryers, flat irons, clippers, UV sterilizers) carries a minimum 2-year manufacturer's warranty. Furniture items carry a 3-year structural warranty. The supplier shall replace any defective items within 14 business days of notification.</w:t>
      </w:r>
    </w:p>
    <w:p>
      <w:pPr>
        <w:numPr>
          <w:ilvl w:val="0"/>
          <w:numId w:val="1001"/>
        </w:numPr>
        <w:pStyle w:val="Compact"/>
      </w:pPr>
      <w:r>
        <w:rPr>
          <w:bCs/>
          <w:b/>
        </w:rPr>
        <w:t xml:space="preserve">Acceptance:</w:t>
      </w:r>
      <w:r>
        <w:t xml:space="preserve"> </w:t>
      </w:r>
      <w:r>
        <w:t xml:space="preserve">The Buyer shall inspect all delivered items within 7 business days of receipt. Any discrepancies, damages, or non-conformities must be reported in writing to the supplier. Failure to report within this period shall constitute acceptance of the goods.</w:t>
      </w:r>
    </w:p>
    <w:p>
      <w:pPr>
        <w:numPr>
          <w:ilvl w:val="0"/>
          <w:numId w:val="1001"/>
        </w:numPr>
        <w:pStyle w:val="Compact"/>
      </w:pPr>
      <w:r>
        <w:rPr>
          <w:bCs/>
          <w:b/>
        </w:rPr>
        <w:t xml:space="preserve">Cancellation:</w:t>
      </w:r>
      <w:r>
        <w:t xml:space="preserve"> </w:t>
      </w:r>
      <w:r>
        <w:t xml:space="preserve">This Purchase Order may be cancelled by the Buyer up to 14 days prior to the delivery deadline with a 5% cancellation fee on the total order value. After this period, cancellation is subject to mutual written agreement.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Hairdresser supply agreement shall be resolved through the Tokyo District Court, Japan Tokyo.</w:t>
      </w:r>
    </w:p>
    <w:p>
      <w:pPr>
        <w:numPr>
          <w:ilvl w:val="0"/>
          <w:numId w:val="1001"/>
        </w:numPr>
        <w:pStyle w:val="Compact"/>
      </w:pPr>
      <w:r>
        <w:rPr>
          <w:bCs/>
          <w:b/>
        </w:rPr>
        <w:t xml:space="preserve">Confidentiality:</w:t>
      </w:r>
      <w:r>
        <w:t xml:space="preserve"> </w:t>
      </w:r>
      <w:r>
        <w:t xml:space="preserve">Both parties agree to maintain confidentiality regarding the commercial terms of this Purchase Order and shall not disclose pricing or business details to third parties without prior written consent.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typhoons affecting the Japan Tokyo region, government mandates, or supply chain disruptions.</w:t>
      </w:r>
    </w:p>
    <w:p>
      <w:pPr>
        <w:numPr>
          <w:ilvl w:val="0"/>
          <w:numId w:val="1001"/>
        </w:numPr>
        <w:pStyle w:val="Compact"/>
      </w:pPr>
      <w:r>
        <w:rPr>
          <w:bCs/>
          <w:b/>
        </w:rPr>
        <w:t xml:space="preserve">Regulatory Compliance:</w:t>
      </w:r>
      <w:r>
        <w:t xml:space="preserve"> </w:t>
      </w:r>
      <w:r>
        <w:t xml:space="preserve">The supplier confirms that all Hairdresser products comply with the Pharmaceutical and Medical Device Act (PMD Act) where applicable, and all chemical consumables carry proper Japanese-language labeling as required for sale in Japan Tokyo.</w:t>
      </w:r>
    </w:p>
    <w:p>
      <w:pPr>
        <w:pStyle w:val="FirstParagraph"/>
      </w:pPr>
      <w:r>
        <w:t xml:space="preserve">Authorized Signatures</w:t>
      </w:r>
    </w:p>
    <w:p>
      <w:pPr>
        <w:pStyle w:val="BodyText"/>
      </w:pPr>
      <w:r>
        <w:rPr>
          <w:bCs/>
          <w:b/>
        </w:rPr>
        <w:t xml:space="preserve">For the Buyer:</w:t>
      </w:r>
      <w:r>
        <w:br/>
      </w:r>
      <w:r>
        <w:t xml:space="preserve">Sakura Style Hairdresser Co., Ltd.</w:t>
      </w:r>
      <w:r>
        <w:br/>
      </w:r>
      <w:r>
        <w:t xml:space="preserve">Name: Kenji Tanaka</w:t>
      </w:r>
      <w:r>
        <w:br/>
      </w:r>
      <w:r>
        <w:t xml:space="preserve">Title: General Manager</w:t>
      </w:r>
      <w:r>
        <w:br/>
      </w:r>
      <w:r>
        <w:t xml:space="preserve">Date: _______________</w:t>
      </w:r>
    </w:p>
    <w:p>
      <w:pPr>
        <w:pStyle w:val="BodyText"/>
      </w:pPr>
      <w:r>
        <w:rPr>
          <w:bCs/>
          <w:b/>
        </w:rPr>
        <w:t xml:space="preserve">For the Supplier:</w:t>
      </w:r>
      <w:r>
        <w:br/>
      </w:r>
      <w:r>
        <w:t xml:space="preserve">Tokyo Pro Hair Supply International K.K.</w:t>
      </w:r>
      <w:r>
        <w:br/>
      </w:r>
      <w:r>
        <w:t xml:space="preserve">Name: Yuki Yamamoto</w:t>
      </w:r>
      <w:r>
        <w:br/>
      </w:r>
      <w:r>
        <w:t xml:space="preserve">Title: Sales Director</w:t>
      </w:r>
      <w:r>
        <w:br/>
      </w:r>
      <w:r>
        <w:t xml:space="preserve">Date: _______________</w:t>
      </w:r>
    </w:p>
    <w:p>
      <w:pPr>
        <w:pStyle w:val="BodyText"/>
      </w:pPr>
      <w:r>
        <w:t xml:space="preserve">This Purchase Order (PO No. JPT-2025-HD-04872) is a legally binding document for the procurement of professional Hairdresser equipment and supplies in Japan Tokyo. This document is valid for 60 days from the date of issue. For inquiries, contact the procurement department at procurement@sakurastyle-hd.jp or +81-3-5411-7820.</w:t>
      </w:r>
    </w:p>
    <w:p>
      <w:pPr>
        <w:pStyle w:val="BodyText"/>
      </w:pPr>
      <w:r>
        <w:t xml:space="preserve">© 2025 Sakura Style Hairdresser Co., Ltd. – All Rights Reserved. Document generated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Supply - Japan Tokyo</dc:title>
  <dc:creator/>
  <dc:language>en</dc:language>
  <cp:keywords/>
  <dcterms:created xsi:type="dcterms:W3CDTF">2026-10-10T04:18:26Z</dcterms:created>
  <dcterms:modified xsi:type="dcterms:W3CDTF">2026-10-10T04:18:26Z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