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Hairdresser Professional Supplies &amp; Equipment Procurement</w:t>
      </w:r>
    </w:p>
    <w:p>
      <w:pPr>
        <w:pStyle w:val="BodyText"/>
      </w:pPr>
      <w:r>
        <w:t xml:space="preserve">Kazakhstan Almaty Region</w:t>
      </w:r>
    </w:p>
    <w:bookmarkEnd w:id="20"/>
    <w:p>
      <w:pPr>
        <w:pStyle w:val="BodyText"/>
      </w:pPr>
      <w:r>
        <w:rPr>
          <w:bCs/>
          <w:b/>
        </w:rPr>
        <w:t xml:space="preserve">Purchase Order No.:</w:t>
      </w:r>
      <w:r>
        <w:t xml:space="preserve"> </w:t>
      </w:r>
      <w:r>
        <w:t xml:space="preserve">PO-KZ-ALM-2025-04782</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June 2025</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Business Name:</w:t>
            </w:r>
          </w:p>
        </w:tc>
        <w:tc>
          <w:tcPr/>
          <w:p>
            <w:pPr>
              <w:pStyle w:val="Compact"/>
              <w:jc w:val="left"/>
            </w:pPr>
            <w:r>
              <w:t xml:space="preserve">Almaty Prestige Hairdresser Studio LLP</w:t>
            </w:r>
          </w:p>
        </w:tc>
      </w:tr>
      <w:tr>
        <w:tc>
          <w:tcPr/>
          <w:p>
            <w:pPr>
              <w:pStyle w:val="Compact"/>
              <w:jc w:val="left"/>
            </w:pPr>
            <w:r>
              <w:rPr>
                <w:bCs/>
                <w:b/>
              </w:rPr>
              <w:t xml:space="preserve">Address:</w:t>
            </w:r>
          </w:p>
        </w:tc>
        <w:tc>
          <w:tcPr/>
          <w:p>
            <w:pPr>
              <w:pStyle w:val="Compact"/>
              <w:jc w:val="left"/>
            </w:pPr>
            <w:r>
              <w:t xml:space="preserve">42 Abai Avenue, Almaty, Kazakhstan 050040</w:t>
            </w:r>
          </w:p>
        </w:tc>
      </w:tr>
      <w:tr>
        <w:tc>
          <w:tcPr/>
          <w:p>
            <w:pPr>
              <w:pStyle w:val="Compact"/>
              <w:jc w:val="left"/>
            </w:pPr>
            <w:r>
              <w:rPr>
                <w:bCs/>
                <w:b/>
              </w:rPr>
              <w:t xml:space="preserve">BIN (Tax ID):</w:t>
            </w:r>
          </w:p>
        </w:tc>
        <w:tc>
          <w:tcPr/>
          <w:p>
            <w:pPr>
              <w:pStyle w:val="Compact"/>
              <w:jc w:val="left"/>
            </w:pPr>
            <w:r>
              <w:t xml:space="preserve">209945678123</w:t>
            </w:r>
          </w:p>
        </w:tc>
      </w:tr>
      <w:tr>
        <w:tc>
          <w:tcPr/>
          <w:p>
            <w:pPr>
              <w:pStyle w:val="Compact"/>
              <w:jc w:val="left"/>
            </w:pPr>
            <w:r>
              <w:rPr>
                <w:bCs/>
                <w:b/>
              </w:rPr>
              <w:t xml:space="preserve">Contact Person:</w:t>
            </w:r>
          </w:p>
        </w:tc>
        <w:tc>
          <w:tcPr/>
          <w:p>
            <w:pPr>
              <w:pStyle w:val="Compact"/>
              <w:jc w:val="left"/>
            </w:pPr>
            <w:r>
              <w:t xml:space="preserve">Aizhan Nurlanova, General Manager</w:t>
            </w:r>
          </w:p>
        </w:tc>
      </w:tr>
      <w:tr>
        <w:tc>
          <w:tcPr/>
          <w:p>
            <w:pPr>
              <w:pStyle w:val="Compact"/>
              <w:jc w:val="left"/>
            </w:pPr>
            <w:r>
              <w:rPr>
                <w:bCs/>
                <w:b/>
              </w:rPr>
              <w:t xml:space="preserve">Phone:</w:t>
            </w:r>
          </w:p>
        </w:tc>
        <w:tc>
          <w:tcPr/>
          <w:p>
            <w:pPr>
              <w:pStyle w:val="Compact"/>
              <w:jc w:val="left"/>
            </w:pPr>
            <w:r>
              <w:t xml:space="preserve">+7 (727) 345-67-89</w:t>
            </w:r>
          </w:p>
        </w:tc>
      </w:tr>
      <w:tr>
        <w:tc>
          <w:tcPr/>
          <w:p>
            <w:pPr>
              <w:pStyle w:val="Compact"/>
              <w:jc w:val="left"/>
            </w:pPr>
            <w:r>
              <w:rPr>
                <w:bCs/>
                <w:b/>
              </w:rPr>
              <w:t xml:space="preserve">Email:</w:t>
            </w:r>
          </w:p>
        </w:tc>
        <w:tc>
          <w:tcPr/>
          <w:p>
            <w:pPr>
              <w:pStyle w:val="Compact"/>
              <w:jc w:val="left"/>
            </w:pPr>
            <w:r>
              <w:t xml:space="preserve">procurement@almatiprestige.kz</w:t>
            </w:r>
          </w:p>
        </w:tc>
      </w:tr>
    </w:tbl>
    <w:p>
      <w:pPr>
        <w:pStyle w:val="BodyText"/>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Central Asia Beauty &amp; Hairdresser Supplies JSC</w:t>
            </w:r>
          </w:p>
        </w:tc>
      </w:tr>
      <w:tr>
        <w:tc>
          <w:tcPr/>
          <w:p>
            <w:pPr>
              <w:pStyle w:val="Compact"/>
              <w:jc w:val="left"/>
            </w:pPr>
            <w:r>
              <w:rPr>
                <w:bCs/>
                <w:b/>
              </w:rPr>
              <w:t xml:space="preserve">Address:</w:t>
            </w:r>
          </w:p>
        </w:tc>
        <w:tc>
          <w:tcPr/>
          <w:p>
            <w:pPr>
              <w:pStyle w:val="Compact"/>
              <w:jc w:val="left"/>
            </w:pPr>
            <w:r>
              <w:t xml:space="preserve">18 Dostyk Avenue, Almaty, Kazakhstan 050000</w:t>
            </w:r>
          </w:p>
        </w:tc>
      </w:tr>
      <w:tr>
        <w:tc>
          <w:tcPr/>
          <w:p>
            <w:pPr>
              <w:pStyle w:val="Compact"/>
              <w:jc w:val="left"/>
            </w:pPr>
            <w:r>
              <w:rPr>
                <w:bCs/>
                <w:b/>
              </w:rPr>
              <w:t xml:space="preserve">BIN (Tax ID):</w:t>
            </w:r>
          </w:p>
        </w:tc>
        <w:tc>
          <w:tcPr/>
          <w:p>
            <w:pPr>
              <w:pStyle w:val="Compact"/>
              <w:jc w:val="left"/>
            </w:pPr>
            <w:r>
              <w:t xml:space="preserve">198876543210</w:t>
            </w:r>
          </w:p>
        </w:tc>
      </w:tr>
      <w:tr>
        <w:tc>
          <w:tcPr/>
          <w:p>
            <w:pPr>
              <w:pStyle w:val="Compact"/>
              <w:jc w:val="left"/>
            </w:pPr>
            <w:r>
              <w:rPr>
                <w:bCs/>
                <w:b/>
              </w:rPr>
              <w:t xml:space="preserve">Contact Person:</w:t>
            </w:r>
          </w:p>
        </w:tc>
        <w:tc>
          <w:tcPr/>
          <w:p>
            <w:pPr>
              <w:pStyle w:val="Compact"/>
              <w:jc w:val="left"/>
            </w:pPr>
            <w:r>
              <w:t xml:space="preserve">Timur Bekzhanov, Sales Director</w:t>
            </w:r>
          </w:p>
        </w:tc>
      </w:tr>
      <w:tr>
        <w:tc>
          <w:tcPr/>
          <w:p>
            <w:pPr>
              <w:pStyle w:val="Compact"/>
              <w:jc w:val="left"/>
            </w:pPr>
            <w:r>
              <w:rPr>
                <w:bCs/>
                <w:b/>
              </w:rPr>
              <w:t xml:space="preserve">Phone:</w:t>
            </w:r>
          </w:p>
        </w:tc>
        <w:tc>
          <w:tcPr/>
          <w:p>
            <w:pPr>
              <w:pStyle w:val="Compact"/>
              <w:jc w:val="left"/>
            </w:pPr>
            <w:r>
              <w:t xml:space="preserve">+7 (727) 210-45-67</w:t>
            </w:r>
          </w:p>
        </w:tc>
      </w:tr>
      <w:tr>
        <w:tc>
          <w:tcPr/>
          <w:p>
            <w:pPr>
              <w:pStyle w:val="Compact"/>
              <w:jc w:val="left"/>
            </w:pPr>
            <w:r>
              <w:rPr>
                <w:bCs/>
                <w:b/>
              </w:rPr>
              <w:t xml:space="preserve">Email:</w:t>
            </w:r>
          </w:p>
        </w:tc>
        <w:tc>
          <w:tcPr/>
          <w:p>
            <w:pPr>
              <w:pStyle w:val="Compact"/>
              <w:jc w:val="left"/>
            </w:pPr>
            <w:r>
              <w:t xml:space="preserve">orders@cabksupplies.kz</w:t>
            </w:r>
          </w:p>
        </w:tc>
      </w:tr>
    </w:tbl>
    <w:p>
      <w:pPr>
        <w:pStyle w:val="BodyText"/>
      </w:pPr>
      <w:r>
        <w:t xml:space="preserve">3. Purchase Order Line Items – Hairdresser Equipment &amp;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Professional Hairdresser Station (hydraulic chair, mirror, armrest) – Almaty local assembly</w:t>
            </w:r>
          </w:p>
        </w:tc>
        <w:tc>
          <w:tcPr/>
          <w:p>
            <w:pPr>
              <w:pStyle w:val="Compact"/>
              <w:jc w:val="left"/>
            </w:pPr>
            <w:r>
              <w:t xml:space="preserve">6</w:t>
            </w:r>
          </w:p>
        </w:tc>
        <w:tc>
          <w:tcPr/>
          <w:p>
            <w:pPr>
              <w:pStyle w:val="Compact"/>
              <w:jc w:val="left"/>
            </w:pPr>
            <w:r>
              <w:t xml:space="preserve">pcs</w:t>
            </w:r>
          </w:p>
        </w:tc>
        <w:tc>
          <w:tcPr/>
          <w:p>
            <w:pPr>
              <w:pStyle w:val="Compact"/>
              <w:jc w:val="left"/>
            </w:pPr>
            <w:r>
              <w:t xml:space="preserve">485,000</w:t>
            </w:r>
          </w:p>
        </w:tc>
        <w:tc>
          <w:tcPr/>
          <w:p>
            <w:pPr>
              <w:pStyle w:val="Compact"/>
              <w:jc w:val="left"/>
            </w:pPr>
            <w:r>
              <w:t xml:space="preserve">2,910,000</w:t>
            </w:r>
          </w:p>
        </w:tc>
      </w:tr>
      <w:tr>
        <w:tc>
          <w:tcPr/>
          <w:p>
            <w:pPr>
              <w:pStyle w:val="Compact"/>
              <w:jc w:val="left"/>
            </w:pPr>
            <w:r>
              <w:t xml:space="preserve">02</w:t>
            </w:r>
          </w:p>
        </w:tc>
        <w:tc>
          <w:tcPr/>
          <w:p>
            <w:pPr>
              <w:pStyle w:val="Compact"/>
              <w:jc w:val="left"/>
            </w:pPr>
            <w:r>
              <w:t xml:space="preserve">Industrial Hairdryer Hood (ceiling-mounted, 220V) for hairdresser salon use</w:t>
            </w:r>
          </w:p>
        </w:tc>
        <w:tc>
          <w:tcPr/>
          <w:p>
            <w:pPr>
              <w:pStyle w:val="Compact"/>
              <w:jc w:val="left"/>
            </w:pPr>
            <w:r>
              <w:t xml:space="preserve">4</w:t>
            </w:r>
          </w:p>
        </w:tc>
        <w:tc>
          <w:tcPr/>
          <w:p>
            <w:pPr>
              <w:pStyle w:val="Compact"/>
              <w:jc w:val="left"/>
            </w:pPr>
            <w:r>
              <w:t xml:space="preserve">pcs</w:t>
            </w:r>
          </w:p>
        </w:tc>
        <w:tc>
          <w:tcPr/>
          <w:p>
            <w:pPr>
              <w:pStyle w:val="Compact"/>
              <w:jc w:val="left"/>
            </w:pPr>
            <w:r>
              <w:t xml:space="preserve">198,000</w:t>
            </w:r>
          </w:p>
        </w:tc>
        <w:tc>
          <w:tcPr/>
          <w:p>
            <w:pPr>
              <w:pStyle w:val="Compact"/>
              <w:jc w:val="left"/>
            </w:pPr>
            <w:r>
              <w:t xml:space="preserve">792,000</w:t>
            </w:r>
          </w:p>
        </w:tc>
      </w:tr>
      <w:tr>
        <w:tc>
          <w:tcPr/>
          <w:p>
            <w:pPr>
              <w:pStyle w:val="Compact"/>
              <w:jc w:val="left"/>
            </w:pPr>
            <w:r>
              <w:t xml:space="preserve">03</w:t>
            </w:r>
          </w:p>
        </w:tc>
        <w:tc>
          <w:tcPr/>
          <w:p>
            <w:pPr>
              <w:pStyle w:val="Compact"/>
              <w:jc w:val="left"/>
            </w:pPr>
            <w:r>
              <w:t xml:space="preserve">Professional Hairdresser Scissors Set (cutting, thinning, texturizing) – German steel</w:t>
            </w:r>
          </w:p>
        </w:tc>
        <w:tc>
          <w:tcPr/>
          <w:p>
            <w:pPr>
              <w:pStyle w:val="Compact"/>
              <w:jc w:val="left"/>
            </w:pPr>
            <w:r>
              <w:t xml:space="preserve">12</w:t>
            </w:r>
          </w:p>
        </w:tc>
        <w:tc>
          <w:tcPr/>
          <w:p>
            <w:pPr>
              <w:pStyle w:val="Compact"/>
              <w:jc w:val="left"/>
            </w:pPr>
            <w:r>
              <w:t xml:space="preserve">sets</w:t>
            </w:r>
          </w:p>
        </w:tc>
        <w:tc>
          <w:tcPr/>
          <w:p>
            <w:pPr>
              <w:pStyle w:val="Compact"/>
              <w:jc w:val="left"/>
            </w:pPr>
            <w:r>
              <w:t xml:space="preserve">42,500</w:t>
            </w:r>
          </w:p>
        </w:tc>
        <w:tc>
          <w:tcPr/>
          <w:p>
            <w:pPr>
              <w:pStyle w:val="Compact"/>
              <w:jc w:val="left"/>
            </w:pPr>
            <w:r>
              <w:t xml:space="preserve">510,000</w:t>
            </w:r>
          </w:p>
        </w:tc>
      </w:tr>
      <w:tr>
        <w:tc>
          <w:tcPr/>
          <w:p>
            <w:pPr>
              <w:pStyle w:val="Compact"/>
              <w:jc w:val="left"/>
            </w:pPr>
            <w:r>
              <w:t xml:space="preserve">04</w:t>
            </w:r>
          </w:p>
        </w:tc>
        <w:tc>
          <w:tcPr/>
          <w:p>
            <w:pPr>
              <w:pStyle w:val="Compact"/>
              <w:jc w:val="left"/>
            </w:pPr>
            <w:r>
              <w:t xml:space="preserve">Washing Basin Unit (reclining, ceramic, with mixer) for hairdresser backwash station</w:t>
            </w:r>
          </w:p>
        </w:tc>
        <w:tc>
          <w:tcPr/>
          <w:p>
            <w:pPr>
              <w:pStyle w:val="Compact"/>
              <w:jc w:val="left"/>
            </w:pPr>
            <w:r>
              <w:t xml:space="preserve">3</w:t>
            </w:r>
          </w:p>
        </w:tc>
        <w:tc>
          <w:tcPr/>
          <w:p>
            <w:pPr>
              <w:pStyle w:val="Compact"/>
              <w:jc w:val="left"/>
            </w:pPr>
            <w:r>
              <w:t xml:space="preserve">pcs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Professional Hair Colour &amp; Chemicals (ammonia-free line, 12 shades, 1000ml)</w:t>
            </w:r>
          </w:p>
        </w:tc>
        <w:tc>
          <w:tcPr/>
          <w:p>
            <w:pPr>
              <w:pStyle w:val="Compact"/>
              <w:jc w:val="left"/>
            </w:pPr>
            <w:r>
              <w:t xml:space="preserve">48</w:t>
            </w:r>
          </w:p>
        </w:tc>
        <w:tc>
          <w:tcPr/>
          <w:p>
            <w:pPr>
              <w:pStyle w:val="Compact"/>
              <w:jc w:val="left"/>
            </w:pPr>
            <w:r>
              <w:t xml:space="preserve">bottles</w:t>
            </w:r>
          </w:p>
        </w:tc>
        <w:tc>
          <w:tcPr/>
          <w:p>
            <w:pPr>
              <w:pStyle w:val="Compact"/>
              <w:jc w:val="left"/>
            </w:pPr>
            <w:r>
              <w:t xml:space="preserve">8,700</w:t>
            </w:r>
          </w:p>
        </w:tc>
        <w:tc>
          <w:tcPr/>
          <w:p>
            <w:pPr>
              <w:pStyle w:val="Compact"/>
              <w:jc w:val="left"/>
            </w:pPr>
            <w:r>
              <w:t xml:space="preserve">417,600</w:t>
            </w:r>
          </w:p>
        </w:tc>
      </w:tr>
      <w:tr>
        <w:tc>
          <w:tcPr/>
          <w:p>
            <w:pPr>
              <w:pStyle w:val="Compact"/>
              <w:jc w:val="left"/>
            </w:pPr>
            <w:r>
              <w:t xml:space="preserve">06</w:t>
            </w:r>
          </w:p>
        </w:tc>
        <w:tc>
          <w:tcPr/>
          <w:p>
            <w:pPr>
              <w:pStyle w:val="Compact"/>
              <w:jc w:val="left"/>
            </w:pPr>
            <w:r>
              <w:t xml:space="preserve">Hairdresser Apron &amp; Uniform Set (stain-resistant, embroidered logo)</w:t>
            </w:r>
          </w:p>
        </w:tc>
        <w:tc>
          <w:tcPr/>
          <w:p>
            <w:pPr>
              <w:pStyle w:val="Compact"/>
              <w:jc w:val="left"/>
            </w:pPr>
            <w:r>
              <w:t xml:space="preserve">20</w:t>
            </w:r>
          </w:p>
        </w:tc>
        <w:tc>
          <w:tcPr/>
          <w:p>
            <w:pPr>
              <w:pStyle w:val="Compact"/>
              <w:jc w:val="left"/>
            </w:pPr>
            <w:r>
              <w:t xml:space="preserve">sets</w:t>
            </w:r>
          </w:p>
        </w:tc>
        <w:tc>
          <w:tcPr/>
          <w:p>
            <w:pPr>
              <w:pStyle w:val="Compact"/>
              <w:jc w:val="left"/>
            </w:pPr>
            <w:r>
              <w:t xml:space="preserve">12,300</w:t>
            </w:r>
          </w:p>
        </w:tc>
        <w:tc>
          <w:tcPr/>
          <w:p>
            <w:pPr>
              <w:pStyle w:val="Compact"/>
              <w:jc w:val="left"/>
            </w:pPr>
            <w:r>
              <w:t xml:space="preserve">246,000</w:t>
            </w:r>
          </w:p>
        </w:tc>
      </w:tr>
      <w:tr>
        <w:tc>
          <w:tcPr/>
          <w:p>
            <w:pPr>
              <w:pStyle w:val="Compact"/>
              <w:jc w:val="left"/>
            </w:pPr>
            <w:r>
              <w:t xml:space="preserve">07</w:t>
            </w:r>
          </w:p>
        </w:tc>
        <w:tc>
          <w:tcPr/>
          <w:p>
            <w:pPr>
              <w:pStyle w:val="Compact"/>
              <w:jc w:val="left"/>
            </w:pPr>
            <w:r>
              <w:t xml:space="preserve">Steam Hair Straightening Machine (professional grade, 3000W)</w:t>
            </w:r>
          </w:p>
        </w:tc>
        <w:tc>
          <w:tcPr/>
          <w:p>
            <w:pPr>
              <w:pStyle w:val="Compact"/>
              <w:jc w:val="left"/>
            </w:pPr>
            <w:r>
              <w:t xml:space="preserve">2</w:t>
            </w:r>
          </w:p>
        </w:tc>
        <w:tc>
          <w:tcPr/>
          <w:p>
            <w:pPr>
              <w:pStyle w:val="Compact"/>
              <w:jc w:val="left"/>
            </w:pPr>
            <w:r>
              <w:t xml:space="preserve">pcs</w:t>
            </w:r>
          </w:p>
        </w:tc>
        <w:tc>
          <w:tcPr/>
          <w:p>
            <w:pPr>
              <w:pStyle w:val="Compact"/>
              <w:jc w:val="left"/>
            </w:pPr>
            <w:r>
              <w:t xml:space="preserve">156,000</w:t>
            </w:r>
          </w:p>
        </w:tc>
        <w:tc>
          <w:tcPr/>
          <w:p>
            <w:pPr>
              <w:pStyle w:val="Compact"/>
              <w:jc w:val="left"/>
            </w:pPr>
            <w:r>
              <w:t xml:space="preserve">312,000</w:t>
            </w:r>
          </w:p>
        </w:tc>
      </w:tr>
      <w:tr>
        <w:tc>
          <w:tcPr/>
          <w:p>
            <w:pPr>
              <w:pStyle w:val="Compact"/>
              <w:jc w:val="left"/>
            </w:pPr>
            <w:r>
              <w:t xml:space="preserve">08</w:t>
            </w:r>
          </w:p>
        </w:tc>
        <w:tc>
          <w:tcPr/>
          <w:p>
            <w:pPr>
              <w:pStyle w:val="Compact"/>
              <w:jc w:val="left"/>
            </w:pPr>
            <w:r>
              <w:t xml:space="preserve">Disposable Hairdresser Accessories (caps, towels, gowns, foils) – monthly bulk pack</w:t>
            </w:r>
          </w:p>
        </w:tc>
        <w:tc>
          <w:tcPr/>
          <w:p>
            <w:pPr>
              <w:pStyle w:val="Compact"/>
              <w:jc w:val="left"/>
            </w:pPr>
            <w:r>
              <w:t xml:space="preserve">10</w:t>
            </w:r>
          </w:p>
        </w:tc>
        <w:tc>
          <w:tcPr/>
          <w:p>
            <w:pPr>
              <w:pStyle w:val="Compact"/>
              <w:jc w:val="left"/>
            </w:pPr>
            <w:r>
              <w:t xml:space="preserve">boxes</w:t>
            </w:r>
          </w:p>
        </w:tc>
        <w:tc>
          <w:tcPr/>
          <w:p>
            <w:pPr>
              <w:pStyle w:val="Compact"/>
              <w:jc w:val="left"/>
            </w:pPr>
            <w:r>
              <w:t xml:space="preserve">34,800</w:t>
            </w:r>
          </w:p>
        </w:tc>
        <w:tc>
          <w:tcPr/>
          <w:p>
            <w:pPr>
              <w:pStyle w:val="Compact"/>
              <w:jc w:val="left"/>
            </w:pPr>
            <w:r>
              <w:t xml:space="preserve">348,000</w:t>
            </w:r>
          </w:p>
        </w:tc>
      </w:tr>
      <w:tr>
        <w:tc>
          <w:tcPr>
            <w:gridSpan w:val="5"/>
          </w:tcPr>
          <w:p>
            <w:pPr>
              <w:pStyle w:val="Compact"/>
              <w:jc w:val="right"/>
            </w:pPr>
            <w:r>
              <w:t xml:space="preserve">SUBTOTAL:</w:t>
            </w:r>
          </w:p>
        </w:tc>
        <w:tc>
          <w:tcPr/>
          <w:p>
            <w:pPr>
              <w:pStyle w:val="Compact"/>
              <w:jc w:val="left"/>
            </w:pPr>
            <w:r>
              <w:t xml:space="preserve">6,495,600</w:t>
            </w:r>
          </w:p>
        </w:tc>
      </w:tr>
      <w:tr>
        <w:tc>
          <w:tcPr>
            <w:gridSpan w:val="5"/>
          </w:tcPr>
          <w:p>
            <w:pPr>
              <w:pStyle w:val="Compact"/>
              <w:jc w:val="right"/>
            </w:pPr>
            <w:r>
              <w:t xml:space="preserve">VAT (12% – Kazakhstan standard rate):</w:t>
            </w:r>
          </w:p>
        </w:tc>
        <w:tc>
          <w:tcPr/>
          <w:p>
            <w:pPr>
              <w:pStyle w:val="Compact"/>
              <w:jc w:val="left"/>
            </w:pPr>
            <w:r>
              <w:t xml:space="preserve">779,472</w:t>
            </w:r>
          </w:p>
        </w:tc>
      </w:tr>
      <w:tr>
        <w:tc>
          <w:tcPr>
            <w:gridSpan w:val="5"/>
          </w:tcPr>
          <w:p>
            <w:pPr>
              <w:pStyle w:val="Compact"/>
              <w:jc w:val="right"/>
            </w:pPr>
            <w:r>
              <w:t xml:space="preserve">GRAND TOTAL (KZT):</w:t>
            </w:r>
          </w:p>
        </w:tc>
        <w:tc>
          <w:tcPr/>
          <w:p>
            <w:pPr>
              <w:pStyle w:val="Compact"/>
              <w:jc w:val="left"/>
            </w:pPr>
            <w:r>
              <w:t xml:space="preserve">7,275,072</w:t>
            </w:r>
          </w:p>
        </w:tc>
      </w:tr>
    </w:tbl>
    <w:p>
      <w:pPr>
        <w:pStyle w:val="BodyText"/>
      </w:pPr>
      <w:r>
        <w:t xml:space="preserve">4. Terms and Conditions of This Purchase Order</w:t>
      </w:r>
    </w:p>
    <w:p>
      <w:pPr>
        <w:numPr>
          <w:ilvl w:val="0"/>
          <w:numId w:val="1001"/>
        </w:numPr>
        <w:pStyle w:val="Compact"/>
      </w:pPr>
      <w:r>
        <w:rPr>
          <w:bCs/>
          <w:b/>
        </w:rPr>
        <w:t xml:space="preserve">Delivery Location:</w:t>
      </w:r>
      <w:r>
        <w:t xml:space="preserve"> </w:t>
      </w:r>
      <w:r>
        <w:t xml:space="preserve">All items listed in this Purchase Order shall be delivered to the Almaty Prestige Hairdresser Studio premises located at 42 Abai Avenue, Almaty, Kazakhstan. The supplier is responsible for all logistics, unloading, and installation of equipment within the Kazakhstan Almaty city limits.</w:t>
      </w:r>
    </w:p>
    <w:p>
      <w:pPr>
        <w:numPr>
          <w:ilvl w:val="0"/>
          <w:numId w:val="1001"/>
        </w:numPr>
        <w:pStyle w:val="Compact"/>
      </w:pPr>
      <w:r>
        <w:rPr>
          <w:bCs/>
          <w:b/>
        </w:rPr>
        <w:t xml:space="preserve">Payment Terms:</w:t>
      </w:r>
      <w:r>
        <w:t xml:space="preserve"> </w:t>
      </w:r>
      <w:r>
        <w:t xml:space="preserve">Payment shall be made within 14 (fourteen) calendar days from the date of confirmed delivery and acceptance of goods. Payment shall be processed via bank transfer to the supplier's account in tenge (KZT) in accordance with Kazakhstan banking regulations. A 5% early-payment discount applies if settled within 7 days.</w:t>
      </w:r>
    </w:p>
    <w:p>
      <w:pPr>
        <w:numPr>
          <w:ilvl w:val="0"/>
          <w:numId w:val="1001"/>
        </w:numPr>
        <w:pStyle w:val="Compact"/>
      </w:pPr>
      <w:r>
        <w:rPr>
          <w:bCs/>
          <w:b/>
        </w:rPr>
        <w:t xml:space="preserve">Warranty:</w:t>
      </w:r>
      <w:r>
        <w:t xml:space="preserve"> </w:t>
      </w:r>
      <w:r>
        <w:t xml:space="preserve">All hairdresser equipment and machinery covered by this Purchase Order carries a minimum 24-month manufacturer warranty. Consumable items (chemicals, disposables) are warranted for 12 months from the date of delivery. The supplier shall replace any defective hairdresser tools or equipment at no additional cost to the buyer.</w:t>
      </w:r>
    </w:p>
    <w:p>
      <w:pPr>
        <w:numPr>
          <w:ilvl w:val="0"/>
          <w:numId w:val="1001"/>
        </w:numPr>
        <w:pStyle w:val="Compact"/>
      </w:pPr>
      <w:r>
        <w:rPr>
          <w:bCs/>
          <w:b/>
        </w:rPr>
        <w:t xml:space="preserve">Quality Standards:</w:t>
      </w:r>
      <w:r>
        <w:t xml:space="preserve"> </w:t>
      </w:r>
      <w:r>
        <w:t xml:space="preserve">All products must comply with the Republic of Kazakhstan national standards (GOST KZ) and the Eurasian Economic Union (EAEU) technical regulations. The supplier must provide certificates of conformity for all imported hairdresser equipment and chemical products.</w:t>
      </w:r>
    </w:p>
    <w:p>
      <w:pPr>
        <w:numPr>
          <w:ilvl w:val="0"/>
          <w:numId w:val="1001"/>
        </w:numPr>
        <w:pStyle w:val="Compact"/>
      </w:pPr>
      <w:r>
        <w:rPr>
          <w:bCs/>
          <w:b/>
        </w:rPr>
        <w:t xml:space="preserve">Acceptance and Inspection:</w:t>
      </w:r>
      <w:r>
        <w:t xml:space="preserve"> </w:t>
      </w:r>
      <w:r>
        <w:t xml:space="preserve">The buyer reserves the right to inspect all delivered goods within 5 (five) business days of arrival at the Kazakhstan Almaty delivery address. Any discrepancies in quantity, quality, or specification must be reported in writing to the supplier within this period.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supply chain disruptions affecting the Kazakhstan Almaty region.</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Code of the Republic of Kazakhstan. Any disputes arising from this Purchase Order related to hairdresser supply services in Kazakhstan Almaty shall be resolved through the Almaty City Arbitration Court.</w:t>
      </w:r>
    </w:p>
    <w:p>
      <w:pPr>
        <w:numPr>
          <w:ilvl w:val="0"/>
          <w:numId w:val="1001"/>
        </w:numPr>
        <w:pStyle w:val="Compact"/>
      </w:pPr>
      <w:r>
        <w:rPr>
          <w:bCs/>
          <w:b/>
        </w:rPr>
        <w:t xml:space="preserve">Confidentiality:</w:t>
      </w:r>
      <w:r>
        <w:t xml:space="preserve"> </w:t>
      </w:r>
      <w:r>
        <w:t xml:space="preserve">Both parties agree to maintain confidentiality regarding pricing, business terms, and operational details disclosed under this Purchase Order. This obligation survives for 3 years beyond the termination of the commercial relationship.</w:t>
      </w:r>
    </w:p>
    <w:p>
      <w:pPr>
        <w:numPr>
          <w:ilvl w:val="0"/>
          <w:numId w:val="1001"/>
        </w:numPr>
        <w:pStyle w:val="Compact"/>
      </w:pPr>
      <w:r>
        <w:rPr>
          <w:bCs/>
          <w:b/>
        </w:rPr>
        <w:t xml:space="preserve">Validity:</w:t>
      </w:r>
      <w:r>
        <w:t xml:space="preserve"> </w:t>
      </w:r>
      <w:r>
        <w:t xml:space="preserve">This Purchase Order is valid for acceptance within 10 (ten) business days from the date of issue. If not accepted within this period, the buyer reserves the right to issue a revised Purchase Order with updated pricing for hairdresser supplies in the Kazakhstan Almaty market.</w:t>
      </w:r>
    </w:p>
    <w:p>
      <w:pPr>
        <w:pStyle w:val="FirstParagraph"/>
      </w:pPr>
      <w:r>
        <w:t xml:space="preserve">5. Authorisation and Signatures</w:t>
      </w:r>
    </w:p>
    <w:p>
      <w:pPr>
        <w:pStyle w:val="BodyText"/>
      </w:pPr>
      <w:r>
        <w:rPr>
          <w:bCs/>
          <w:b/>
        </w:rPr>
        <w:t xml:space="preserve">For and on behalf of the Buyer:</w:t>
      </w:r>
    </w:p>
    <w:p>
      <w:pPr>
        <w:pStyle w:val="BodyText"/>
      </w:pPr>
      <w:r>
        <w:t xml:space="preserve">Almaty Prestige Hairdresser Studio LLP</w:t>
      </w:r>
    </w:p>
    <w:p>
      <w:pPr>
        <w:pStyle w:val="BodyText"/>
      </w:pPr>
      <w:r>
        <w:t xml:space="preserve">Aizhan Nurlanova</w:t>
      </w:r>
      <w:r>
        <w:br/>
      </w:r>
      <w:r>
        <w:t xml:space="preserve">General Manager</w:t>
      </w:r>
      <w:r>
        <w:br/>
      </w:r>
      <w:r>
        <w:t xml:space="preserve">Date: _______________</w:t>
      </w:r>
    </w:p>
    <w:p>
      <w:pPr>
        <w:pStyle w:val="BodyText"/>
      </w:pPr>
      <w:r>
        <w:rPr>
          <w:bCs/>
          <w:b/>
        </w:rPr>
        <w:t xml:space="preserve">For and on behalf of the Supplier:</w:t>
      </w:r>
    </w:p>
    <w:p>
      <w:pPr>
        <w:pStyle w:val="BodyText"/>
      </w:pPr>
      <w:r>
        <w:t xml:space="preserve">Central Asia Beauty &amp; Hairdresser Supplies JSC</w:t>
      </w:r>
    </w:p>
    <w:p>
      <w:pPr>
        <w:pStyle w:val="BodyText"/>
      </w:pPr>
      <w:r>
        <w:t xml:space="preserve">Timur Bekzhanov</w:t>
      </w:r>
      <w:r>
        <w:br/>
      </w:r>
      <w:r>
        <w:t xml:space="preserve">Sales Director</w:t>
      </w:r>
      <w:r>
        <w:br/>
      </w:r>
      <w:r>
        <w:t xml:space="preserve">Date: _______________</w:t>
      </w:r>
    </w:p>
    <w:p>
      <w:pPr>
        <w:pStyle w:val="BodyText"/>
      </w:pPr>
      <w:r>
        <w:rPr>
          <w:bCs/>
          <w:b/>
        </w:rPr>
        <w:t xml:space="preserve">Important Notice:</w:t>
      </w:r>
      <w:r>
        <w:t xml:space="preserve"> </w:t>
      </w:r>
      <w:r>
        <w:t xml:space="preserve">This Purchase Order document is issued in accordance with the commercial practices of the hairdresser and beauty industry in Kazakhstan Almaty. All transactions are subject to the tax and regulatory framework of the Republic of Kazakhstan. The total value of this Purchase Order, including VAT, amounts to 7,275,072 KZT (approximately USD 15,890 at the National Bank of Kazakhstan reference rate). This document constitutes a binding commercial agreement upon signature by both authorised representatives. Reference: PO-KZ-ALM-2025-04782.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Services - Kazakhstan Almaty</dc:title>
  <dc:creator/>
  <dc:language>en</dc:language>
  <cp:keywords/>
  <dcterms:created xsi:type="dcterms:W3CDTF">2026-10-10T08:56:26Z</dcterms:created>
  <dcterms:modified xsi:type="dcterms:W3CDTF">2026-10-10T08:56:26Z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