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Supply</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t xml:space="preserve">Professional Hairdresser Supply &amp; Equipment Procurement</w:t>
      </w:r>
    </w:p>
    <w:p>
      <w:pPr>
        <w:pStyle w:val="BodyText"/>
      </w:pPr>
      <w:r>
        <w:t xml:space="preserve">City of Lima, Republic of Peru</w:t>
      </w:r>
    </w:p>
    <w:bookmarkEnd w:id="20"/>
    <w:bookmarkStart w:id="21" w:name="buyer-receiving-party"/>
    <w:p>
      <w:pPr>
        <w:pStyle w:val="Heading3"/>
      </w:pPr>
      <w:r>
        <w:t xml:space="preserve">Buyer / Receiving Party</w:t>
      </w:r>
    </w:p>
    <w:p>
      <w:pPr>
        <w:pStyle w:val="FirstParagraph"/>
      </w:pPr>
      <w:r>
        <w:rPr>
          <w:bCs/>
          <w:b/>
        </w:rPr>
        <w:t xml:space="preserve">Estudio de Peluquería "Corte &amp; Estilo" S.A.C.</w:t>
      </w:r>
    </w:p>
    <w:p>
      <w:pPr>
        <w:pStyle w:val="BodyText"/>
      </w:pPr>
      <w:r>
        <w:t xml:space="preserve">RUC: 20587643210</w:t>
      </w:r>
    </w:p>
    <w:p>
      <w:pPr>
        <w:pStyle w:val="BodyText"/>
      </w:pPr>
      <w:r>
        <w:t xml:space="preserve">Av. Javier Prado Este 1245, Of. 802</w:t>
      </w:r>
    </w:p>
    <w:p>
      <w:pPr>
        <w:pStyle w:val="BodyText"/>
      </w:pPr>
      <w:r>
        <w:t xml:space="preserve">San Isidro, Lima 10012, Peru</w:t>
      </w:r>
    </w:p>
    <w:p>
      <w:pPr>
        <w:pStyle w:val="BodyText"/>
      </w:pPr>
      <w:r>
        <w:t xml:space="preserve">Phone: +51 1 445-6789</w:t>
      </w:r>
    </w:p>
    <w:p>
      <w:pPr>
        <w:pStyle w:val="BodyText"/>
      </w:pPr>
      <w:r>
        <w:t xml:space="preserve">Email: compras@corteyestilo.pe</w:t>
      </w:r>
    </w:p>
    <w:bookmarkEnd w:id="21"/>
    <w:bookmarkStart w:id="22" w:name="supplier-vendor"/>
    <w:p>
      <w:pPr>
        <w:pStyle w:val="Heading3"/>
      </w:pPr>
      <w:r>
        <w:t xml:space="preserve">Supplier / Vendor</w:t>
      </w:r>
    </w:p>
    <w:p>
      <w:pPr>
        <w:pStyle w:val="FirstParagraph"/>
      </w:pPr>
      <w:r>
        <w:rPr>
          <w:bCs/>
          <w:b/>
        </w:rPr>
        <w:t xml:space="preserve">Importadora de Productos de Belleza del Pacífico E.I.R.L.</w:t>
      </w:r>
    </w:p>
    <w:p>
      <w:pPr>
        <w:pStyle w:val="BodyText"/>
      </w:pPr>
      <w:r>
        <w:t xml:space="preserve">RUC: 20498712345</w:t>
      </w:r>
    </w:p>
    <w:p>
      <w:pPr>
        <w:pStyle w:val="BodyText"/>
      </w:pPr>
      <w:r>
        <w:t xml:space="preserve">Av. Arequipa 3567, Local 12</w:t>
      </w:r>
    </w:p>
    <w:p>
      <w:pPr>
        <w:pStyle w:val="BodyText"/>
      </w:pPr>
      <w:r>
        <w:t xml:space="preserve">La Victoria, Lima 15001, Peru</w:t>
      </w:r>
    </w:p>
    <w:p>
      <w:pPr>
        <w:pStyle w:val="BodyText"/>
      </w:pPr>
      <w:r>
        <w:t xml:space="preserve">Phone: +51 1 267-8901</w:t>
      </w:r>
    </w:p>
    <w:p>
      <w:pPr>
        <w:pStyle w:val="BodyText"/>
      </w:pPr>
      <w:r>
        <w:t xml:space="preserve">Email: ventas@bellezaspacifico.pe</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PO-2025-LIM-00487</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Delivery Deadline:</w:t>
            </w:r>
          </w:p>
        </w:tc>
        <w:tc>
          <w:tcPr/>
          <w:p>
            <w:pPr>
              <w:pStyle w:val="Compact"/>
              <w:jc w:val="left"/>
            </w:pPr>
            <w:r>
              <w:t xml:space="preserve">June 26, 2025</w:t>
            </w:r>
          </w:p>
        </w:tc>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Delivery Address:</w:t>
            </w:r>
          </w:p>
        </w:tc>
        <w:tc>
          <w:tcPr>
            <w:gridSpan w:val="3"/>
          </w:tcPr>
          <w:p>
            <w:pPr>
              <w:pStyle w:val="Compact"/>
              <w:jc w:val="left"/>
            </w:pPr>
            <w:r>
              <w:t xml:space="preserve">Av. Javier Prado Este 1245, San Isidro, Lima, Peru</w:t>
            </w:r>
          </w:p>
        </w:tc>
      </w:tr>
      <w:tr>
        <w:tc>
          <w:tcPr/>
          <w:p>
            <w:pPr>
              <w:pStyle w:val="Compact"/>
              <w:jc w:val="left"/>
            </w:pPr>
            <w:r>
              <w:t xml:space="preserve">Currency:</w:t>
            </w:r>
          </w:p>
        </w:tc>
        <w:tc>
          <w:tcPr/>
          <w:p>
            <w:pPr>
              <w:pStyle w:val="Compact"/>
              <w:jc w:val="left"/>
            </w:pPr>
            <w:r>
              <w:t xml:space="preserve">Peruvian Sol (PEN / S/)</w:t>
            </w:r>
          </w:p>
        </w:tc>
        <w:tc>
          <w:tcPr/>
          <w:p>
            <w:pPr>
              <w:pStyle w:val="Compact"/>
              <w:jc w:val="left"/>
            </w:pPr>
            <w:r>
              <w:t xml:space="preserve">Incoterms:</w:t>
            </w:r>
          </w:p>
        </w:tc>
        <w:tc>
          <w:tcPr/>
          <w:p>
            <w:pPr>
              <w:pStyle w:val="Compact"/>
              <w:jc w:val="left"/>
            </w:pPr>
            <w:r>
              <w:t xml:space="preserve">DDP Lima, Peru</w:t>
            </w:r>
          </w:p>
        </w:tc>
      </w:tr>
    </w:tbl>
    <w:bookmarkStart w:id="24" w:name="X51ab5cdff388c53ea66f811b461d0567fbe6ab7"/>
    <w:p>
      <w:pPr>
        <w:pStyle w:val="Heading2"/>
      </w:pPr>
      <w:r>
        <w:t xml:space="preserve">Line Items – Hairdresser Equipment &amp; Consumables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w:t>
            </w:r>
          </w:p>
        </w:tc>
        <w:tc>
          <w:tcPr/>
          <w:p>
            <w:pPr>
              <w:pStyle w:val="Compact"/>
              <w:jc w:val="left"/>
            </w:pPr>
            <w:r>
              <w:t xml:space="preserve">Subtotal (S/)</w:t>
            </w:r>
          </w:p>
        </w:tc>
      </w:tr>
      <w:tr>
        <w:tc>
          <w:tcPr/>
          <w:p>
            <w:pPr>
              <w:pStyle w:val="Compact"/>
              <w:jc w:val="left"/>
            </w:pPr>
            <w:r>
              <w:t xml:space="preserve">01</w:t>
            </w:r>
          </w:p>
        </w:tc>
        <w:tc>
          <w:tcPr/>
          <w:p>
            <w:pPr>
              <w:pStyle w:val="Compact"/>
              <w:jc w:val="left"/>
            </w:pPr>
            <w:r>
              <w:t xml:space="preserve">Professional Hairdryer, 2200W, Ionic Technology – Wella Professionals series, for hairdresser workstation use</w:t>
            </w:r>
          </w:p>
        </w:tc>
        <w:tc>
          <w:tcPr/>
          <w:p>
            <w:pPr>
              <w:pStyle w:val="Compact"/>
              <w:jc w:val="left"/>
            </w:pPr>
            <w:r>
              <w:t xml:space="preserve">6</w:t>
            </w:r>
          </w:p>
        </w:tc>
        <w:tc>
          <w:tcPr/>
          <w:p>
            <w:pPr>
              <w:pStyle w:val="Compact"/>
              <w:jc w:val="left"/>
            </w:pPr>
            <w:r>
              <w:t xml:space="preserve">Units</w:t>
            </w:r>
          </w:p>
        </w:tc>
        <w:tc>
          <w:tcPr/>
          <w:p>
            <w:pPr>
              <w:pStyle w:val="Compact"/>
              <w:jc w:val="left"/>
            </w:pPr>
            <w:r>
              <w:t xml:space="preserve">850.00</w:t>
            </w:r>
          </w:p>
        </w:tc>
        <w:tc>
          <w:tcPr/>
          <w:p>
            <w:pPr>
              <w:pStyle w:val="Compact"/>
              <w:jc w:val="left"/>
            </w:pPr>
            <w:r>
              <w:t xml:space="preserve">5,100.00</w:t>
            </w:r>
          </w:p>
        </w:tc>
      </w:tr>
      <w:tr>
        <w:tc>
          <w:tcPr/>
          <w:p>
            <w:pPr>
              <w:pStyle w:val="Compact"/>
              <w:jc w:val="left"/>
            </w:pPr>
            <w:r>
              <w:t xml:space="preserve">02</w:t>
            </w:r>
          </w:p>
        </w:tc>
        <w:tc>
          <w:tcPr/>
          <w:p>
            <w:pPr>
              <w:pStyle w:val="Compact"/>
              <w:jc w:val="left"/>
            </w:pPr>
            <w:r>
              <w:t xml:space="preserve">Ceramic Flat Iron, 1-inch plates, adjustable temperature 120°C–230°C – GHD Platinum+</w:t>
            </w:r>
          </w:p>
        </w:tc>
        <w:tc>
          <w:tcPr/>
          <w:p>
            <w:pPr>
              <w:pStyle w:val="Compact"/>
              <w:jc w:val="left"/>
            </w:pPr>
            <w:r>
              <w:t xml:space="preserve">4</w:t>
            </w:r>
          </w:p>
        </w:tc>
        <w:tc>
          <w:tcPr/>
          <w:p>
            <w:pPr>
              <w:pStyle w:val="Compact"/>
              <w:jc w:val="left"/>
            </w:pPr>
            <w:r>
              <w:t xml:space="preserve">Units</w:t>
            </w:r>
          </w:p>
        </w:tc>
        <w:tc>
          <w:tcPr/>
          <w:p>
            <w:pPr>
              <w:pStyle w:val="Compact"/>
              <w:jc w:val="left"/>
            </w:pPr>
            <w:r>
              <w:t xml:space="preserve">1,250.00</w:t>
            </w:r>
          </w:p>
        </w:tc>
        <w:tc>
          <w:tcPr/>
          <w:p>
            <w:pPr>
              <w:pStyle w:val="Compact"/>
              <w:jc w:val="left"/>
            </w:pPr>
            <w:r>
              <w:t xml:space="preserve">5,000.00</w:t>
            </w:r>
          </w:p>
        </w:tc>
      </w:tr>
      <w:tr>
        <w:tc>
          <w:tcPr/>
          <w:p>
            <w:pPr>
              <w:pStyle w:val="Compact"/>
              <w:jc w:val="left"/>
            </w:pPr>
            <w:r>
              <w:t xml:space="preserve">03</w:t>
            </w:r>
          </w:p>
        </w:tc>
        <w:tc>
          <w:tcPr/>
          <w:p>
            <w:pPr>
              <w:pStyle w:val="Compact"/>
              <w:jc w:val="left"/>
            </w:pPr>
            <w:r>
              <w:t xml:space="preserve">Professional Hairdresser Chair, hydraulic lift, leather upholstery, chrome base – ergonomic design for salon in Lima</w:t>
            </w:r>
          </w:p>
        </w:tc>
        <w:tc>
          <w:tcPr/>
          <w:p>
            <w:pPr>
              <w:pStyle w:val="Compact"/>
              <w:jc w:val="left"/>
            </w:pPr>
            <w:r>
              <w:t xml:space="preserve">4</w:t>
            </w:r>
          </w:p>
        </w:tc>
        <w:tc>
          <w:tcPr/>
          <w:p>
            <w:pPr>
              <w:pStyle w:val="Compact"/>
              <w:jc w:val="left"/>
            </w:pPr>
            <w:r>
              <w:t xml:space="preserve">Units</w:t>
            </w:r>
          </w:p>
        </w:tc>
        <w:tc>
          <w:tcPr/>
          <w:p>
            <w:pPr>
              <w:pStyle w:val="Compact"/>
              <w:jc w:val="left"/>
            </w:pPr>
            <w:r>
              <w:t xml:space="preserve">2,800.00</w:t>
            </w:r>
          </w:p>
        </w:tc>
        <w:tc>
          <w:tcPr/>
          <w:p>
            <w:pPr>
              <w:pStyle w:val="Compact"/>
              <w:jc w:val="left"/>
            </w:pPr>
            <w:r>
              <w:t xml:space="preserve">11,200.00</w:t>
            </w:r>
          </w:p>
        </w:tc>
      </w:tr>
      <w:tr>
        <w:tc>
          <w:tcPr/>
          <w:p>
            <w:pPr>
              <w:pStyle w:val="Compact"/>
              <w:jc w:val="left"/>
            </w:pPr>
            <w:r>
              <w:t xml:space="preserve">04</w:t>
            </w:r>
          </w:p>
        </w:tc>
        <w:tc>
          <w:tcPr/>
          <w:p>
            <w:pPr>
              <w:pStyle w:val="Compact"/>
              <w:jc w:val="left"/>
            </w:pPr>
            <w:r>
              <w:t xml:space="preserve">Stainless Steel Washing Basin with adjustable neck rest, for backwash station</w:t>
            </w:r>
          </w:p>
        </w:tc>
        <w:tc>
          <w:tcPr/>
          <w:p>
            <w:pPr>
              <w:pStyle w:val="Compact"/>
              <w:jc w:val="left"/>
            </w:pPr>
            <w:r>
              <w:t xml:space="preserve">3</w:t>
            </w:r>
          </w:p>
        </w:tc>
        <w:tc>
          <w:tcPr/>
          <w:p>
            <w:pPr>
              <w:pStyle w:val="Compact"/>
              <w:jc w:val="left"/>
            </w:pPr>
            <w:r>
              <w:t xml:space="preserve">Units</w:t>
            </w:r>
          </w:p>
        </w:tc>
        <w:tc>
          <w:tcPr/>
          <w:p>
            <w:pPr>
              <w:pStyle w:val="Compact"/>
              <w:jc w:val="left"/>
            </w:pPr>
            <w:r>
              <w:t xml:space="preserve">1,950.00</w:t>
            </w:r>
          </w:p>
        </w:tc>
        <w:tc>
          <w:tcPr/>
          <w:p>
            <w:pPr>
              <w:pStyle w:val="Compact"/>
              <w:jc w:val="left"/>
            </w:pPr>
            <w:r>
              <w:t xml:space="preserve">5,850.00</w:t>
            </w:r>
          </w:p>
        </w:tc>
      </w:tr>
      <w:tr>
        <w:tc>
          <w:tcPr/>
          <w:p>
            <w:pPr>
              <w:pStyle w:val="Compact"/>
              <w:jc w:val="left"/>
            </w:pPr>
            <w:r>
              <w:t xml:space="preserve">05</w:t>
            </w:r>
          </w:p>
        </w:tc>
        <w:tc>
          <w:tcPr/>
          <w:p>
            <w:pPr>
              <w:pStyle w:val="Compact"/>
              <w:jc w:val="left"/>
            </w:pPr>
            <w:r>
              <w:t xml:space="preserve">Professional Scissors Set (6 pieces), Japanese steel, 5.5"–7.5" – for precision hairdresser cutting</w:t>
            </w:r>
          </w:p>
        </w:tc>
        <w:tc>
          <w:tcPr/>
          <w:p>
            <w:pPr>
              <w:pStyle w:val="Compact"/>
              <w:jc w:val="left"/>
            </w:pPr>
            <w:r>
              <w:t xml:space="preserve">8</w:t>
            </w:r>
          </w:p>
        </w:tc>
        <w:tc>
          <w:tcPr/>
          <w:p>
            <w:pPr>
              <w:pStyle w:val="Compact"/>
              <w:jc w:val="left"/>
            </w:pPr>
            <w:r>
              <w:t xml:space="preserve">Sets</w:t>
            </w:r>
          </w:p>
        </w:tc>
        <w:tc>
          <w:tcPr/>
          <w:p>
            <w:pPr>
              <w:pStyle w:val="Compact"/>
              <w:jc w:val="left"/>
            </w:pPr>
            <w:r>
              <w:t xml:space="preserve">680.00</w:t>
            </w:r>
          </w:p>
        </w:tc>
        <w:tc>
          <w:tcPr/>
          <w:p>
            <w:pPr>
              <w:pStyle w:val="Compact"/>
              <w:jc w:val="left"/>
            </w:pPr>
            <w:r>
              <w:t xml:space="preserve">5,440.00</w:t>
            </w:r>
          </w:p>
        </w:tc>
      </w:tr>
      <w:tr>
        <w:tc>
          <w:tcPr/>
          <w:p>
            <w:pPr>
              <w:pStyle w:val="Compact"/>
              <w:jc w:val="left"/>
            </w:pPr>
            <w:r>
              <w:t xml:space="preserve">06</w:t>
            </w:r>
          </w:p>
        </w:tc>
        <w:tc>
          <w:tcPr/>
          <w:p>
            <w:pPr>
              <w:pStyle w:val="Compact"/>
              <w:jc w:val="left"/>
            </w:pPr>
            <w:r>
              <w:t xml:space="preserve">Ammonia-Free Permanent Hair Color, full range (24 shades), 100ml tubes – L'Oréal Professionnel</w:t>
            </w:r>
          </w:p>
        </w:tc>
        <w:tc>
          <w:tcPr/>
          <w:p>
            <w:pPr>
              <w:pStyle w:val="Compact"/>
              <w:jc w:val="left"/>
            </w:pPr>
            <w:r>
              <w:t xml:space="preserve">48</w:t>
            </w:r>
          </w:p>
        </w:tc>
        <w:tc>
          <w:tcPr/>
          <w:p>
            <w:pPr>
              <w:pStyle w:val="Compact"/>
              <w:jc w:val="left"/>
            </w:pPr>
            <w:r>
              <w:t xml:space="preserve">Tubes</w:t>
            </w:r>
          </w:p>
        </w:tc>
        <w:tc>
          <w:tcPr/>
          <w:p>
            <w:pPr>
              <w:pStyle w:val="Compact"/>
              <w:jc w:val="left"/>
            </w:pPr>
            <w:r>
              <w:t xml:space="preserve">45.00</w:t>
            </w:r>
          </w:p>
        </w:tc>
        <w:tc>
          <w:tcPr/>
          <w:p>
            <w:pPr>
              <w:pStyle w:val="Compact"/>
              <w:jc w:val="left"/>
            </w:pPr>
            <w:r>
              <w:t xml:space="preserve">2,160.00</w:t>
            </w:r>
          </w:p>
        </w:tc>
      </w:tr>
      <w:tr>
        <w:tc>
          <w:tcPr/>
          <w:p>
            <w:pPr>
              <w:pStyle w:val="Compact"/>
              <w:jc w:val="left"/>
            </w:pPr>
            <w:r>
              <w:t xml:space="preserve">07</w:t>
            </w:r>
          </w:p>
        </w:tc>
        <w:tc>
          <w:tcPr/>
          <w:p>
            <w:pPr>
              <w:pStyle w:val="Compact"/>
              <w:jc w:val="left"/>
            </w:pPr>
            <w:r>
              <w:t xml:space="preserve">Professional Hair Care Shampoo &amp; Conditioner, keratin formula, 1L bottles – for salon retail and in-service use</w:t>
            </w:r>
          </w:p>
        </w:tc>
        <w:tc>
          <w:tcPr/>
          <w:p>
            <w:pPr>
              <w:pStyle w:val="Compact"/>
              <w:jc w:val="left"/>
            </w:pPr>
            <w:r>
              <w:t xml:space="preserve">36</w:t>
            </w:r>
          </w:p>
        </w:tc>
        <w:tc>
          <w:tcPr/>
          <w:p>
            <w:pPr>
              <w:pStyle w:val="Compact"/>
              <w:jc w:val="left"/>
            </w:pPr>
            <w:r>
              <w:t xml:space="preserve">Bottles</w:t>
            </w:r>
          </w:p>
        </w:tc>
        <w:tc>
          <w:tcPr/>
          <w:p>
            <w:pPr>
              <w:pStyle w:val="Compact"/>
              <w:jc w:val="left"/>
            </w:pPr>
            <w:r>
              <w:t xml:space="preserve">78.00</w:t>
            </w:r>
          </w:p>
        </w:tc>
        <w:tc>
          <w:tcPr/>
          <w:p>
            <w:pPr>
              <w:pStyle w:val="Compact"/>
              <w:jc w:val="left"/>
            </w:pPr>
            <w:r>
              <w:t xml:space="preserve">2,808.00</w:t>
            </w:r>
          </w:p>
        </w:tc>
      </w:tr>
      <w:tr>
        <w:tc>
          <w:tcPr/>
          <w:p>
            <w:pPr>
              <w:pStyle w:val="Compact"/>
              <w:jc w:val="left"/>
            </w:pPr>
            <w:r>
              <w:t xml:space="preserve">08</w:t>
            </w:r>
          </w:p>
        </w:tc>
        <w:tc>
          <w:tcPr/>
          <w:p>
            <w:pPr>
              <w:pStyle w:val="Compact"/>
              <w:jc w:val="left"/>
            </w:pPr>
            <w:r>
              <w:t xml:space="preserve">Heat-Resistant Styling Gloves, nitrile, size M/L, box of 100 – for hairdresser chemical treatments</w:t>
            </w:r>
          </w:p>
        </w:tc>
        <w:tc>
          <w:tcPr/>
          <w:p>
            <w:pPr>
              <w:pStyle w:val="Compact"/>
              <w:jc w:val="left"/>
            </w:pPr>
            <w:r>
              <w:t xml:space="preserve">10</w:t>
            </w:r>
          </w:p>
        </w:tc>
        <w:tc>
          <w:tcPr/>
          <w:p>
            <w:pPr>
              <w:pStyle w:val="Compact"/>
              <w:jc w:val="left"/>
            </w:pPr>
            <w:r>
              <w:t xml:space="preserve">Boxes</w:t>
            </w:r>
          </w:p>
        </w:tc>
        <w:tc>
          <w:tcPr/>
          <w:p>
            <w:pPr>
              <w:pStyle w:val="Compact"/>
              <w:jc w:val="left"/>
            </w:pPr>
            <w:r>
              <w:t xml:space="preserve">32.00</w:t>
            </w:r>
          </w:p>
        </w:tc>
        <w:tc>
          <w:tcPr/>
          <w:p>
            <w:pPr>
              <w:pStyle w:val="Compact"/>
              <w:jc w:val="left"/>
            </w:pPr>
            <w:r>
              <w:t xml:space="preserve">320.00</w:t>
            </w:r>
          </w:p>
        </w:tc>
      </w:tr>
      <w:tr>
        <w:tc>
          <w:tcPr/>
          <w:p>
            <w:pPr>
              <w:pStyle w:val="Compact"/>
              <w:jc w:val="left"/>
            </w:pPr>
            <w:r>
              <w:t xml:space="preserve">09</w:t>
            </w:r>
          </w:p>
        </w:tc>
        <w:tc>
          <w:tcPr/>
          <w:p>
            <w:pPr>
              <w:pStyle w:val="Compact"/>
              <w:jc w:val="left"/>
            </w:pPr>
            <w:r>
              <w:t xml:space="preserve">LED Illuminated Salon Mirror, 60x80cm, with integrated lighting and storage shelf</w:t>
            </w:r>
          </w:p>
        </w:tc>
        <w:tc>
          <w:tcPr/>
          <w:p>
            <w:pPr>
              <w:pStyle w:val="Compact"/>
              <w:jc w:val="left"/>
            </w:pPr>
            <w:r>
              <w:t xml:space="preserve">4</w:t>
            </w:r>
          </w:p>
        </w:tc>
        <w:tc>
          <w:tcPr/>
          <w:p>
            <w:pPr>
              <w:pStyle w:val="Compact"/>
              <w:jc w:val="left"/>
            </w:pPr>
            <w:r>
              <w:t xml:space="preserve">Units</w:t>
            </w:r>
          </w:p>
        </w:tc>
        <w:tc>
          <w:tcPr/>
          <w:p>
            <w:pPr>
              <w:pStyle w:val="Compact"/>
              <w:jc w:val="left"/>
            </w:pPr>
            <w:r>
              <w:t xml:space="preserve">1,450.00</w:t>
            </w:r>
          </w:p>
        </w:tc>
        <w:tc>
          <w:tcPr/>
          <w:p>
            <w:pPr>
              <w:pStyle w:val="Compact"/>
              <w:jc w:val="left"/>
            </w:pPr>
            <w:r>
              <w:t xml:space="preserve">5,800.00</w:t>
            </w:r>
          </w:p>
        </w:tc>
      </w:tr>
      <w:tr>
        <w:tc>
          <w:tcPr/>
          <w:p>
            <w:pPr>
              <w:pStyle w:val="Compact"/>
              <w:jc w:val="left"/>
            </w:pPr>
            <w:r>
              <w:t xml:space="preserve">10</w:t>
            </w:r>
          </w:p>
        </w:tc>
        <w:tc>
          <w:tcPr/>
          <w:p>
            <w:pPr>
              <w:pStyle w:val="Compact"/>
              <w:jc w:val="left"/>
            </w:pPr>
            <w:r>
              <w:t xml:space="preserve">Disposable Hair Capes, waterproof, 120x150cm, pack of 50 – for hairdresser client protection</w:t>
            </w:r>
          </w:p>
        </w:tc>
        <w:tc>
          <w:tcPr/>
          <w:p>
            <w:pPr>
              <w:pStyle w:val="Compact"/>
              <w:jc w:val="left"/>
            </w:pPr>
            <w:r>
              <w:t xml:space="preserve">20</w:t>
            </w:r>
          </w:p>
        </w:tc>
        <w:tc>
          <w:tcPr/>
          <w:p>
            <w:pPr>
              <w:pStyle w:val="Compact"/>
              <w:jc w:val="left"/>
            </w:pPr>
            <w:r>
              <w:t xml:space="preserve">Packs</w:t>
            </w:r>
          </w:p>
        </w:tc>
        <w:tc>
          <w:tcPr/>
          <w:p>
            <w:pPr>
              <w:pStyle w:val="Compact"/>
              <w:jc w:val="left"/>
            </w:pPr>
            <w:r>
              <w:t xml:space="preserve">55.00</w:t>
            </w:r>
          </w:p>
        </w:tc>
        <w:tc>
          <w:tcPr/>
          <w:p>
            <w:pPr>
              <w:pStyle w:val="Compact"/>
              <w:jc w:val="left"/>
            </w:pPr>
            <w:r>
              <w:t xml:space="preserve">1,100.00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S/ 44,778.00</w:t>
            </w:r>
          </w:p>
        </w:tc>
      </w:tr>
      <w:tr>
        <w:tc>
          <w:tcPr/>
          <w:p>
            <w:pPr>
              <w:pStyle w:val="Compact"/>
              <w:jc w:val="left"/>
            </w:pPr>
            <w:r>
              <w:t xml:space="preserve">IGV (18% – Peruvian General Sales Tax):</w:t>
            </w:r>
          </w:p>
        </w:tc>
        <w:tc>
          <w:tcPr/>
          <w:p>
            <w:pPr>
              <w:pStyle w:val="Compact"/>
              <w:jc w:val="left"/>
            </w:pPr>
            <w:r>
              <w:t xml:space="preserve">S/ 8,060.04</w:t>
            </w:r>
          </w:p>
        </w:tc>
      </w:tr>
      <w:tr>
        <w:tc>
          <w:tcPr/>
          <w:p>
            <w:pPr>
              <w:pStyle w:val="Compact"/>
              <w:jc w:val="left"/>
            </w:pPr>
            <w:r>
              <w:t xml:space="preserve">Local Delivery within Lima Metro:</w:t>
            </w:r>
          </w:p>
        </w:tc>
        <w:tc>
          <w:tcPr/>
          <w:p>
            <w:pPr>
              <w:pStyle w:val="Compact"/>
              <w:jc w:val="left"/>
            </w:pPr>
            <w:r>
              <w:t xml:space="preserve">S/ 0.00 (included)</w:t>
            </w:r>
          </w:p>
        </w:tc>
      </w:tr>
      <w:tr>
        <w:tc>
          <w:tcPr/>
          <w:p>
            <w:pPr>
              <w:pStyle w:val="Compact"/>
              <w:jc w:val="left"/>
            </w:pPr>
            <w:r>
              <w:t xml:space="preserve">TOTAL AMOUNT DUE:</w:t>
            </w:r>
          </w:p>
        </w:tc>
        <w:tc>
          <w:tcPr/>
          <w:p>
            <w:pPr>
              <w:pStyle w:val="Compact"/>
              <w:jc w:val="left"/>
            </w:pPr>
            <w:r>
              <w:t xml:space="preserve">S/ 52,838.04</w:t>
            </w:r>
          </w:p>
        </w:tc>
      </w:tr>
    </w:tbl>
    <w:bookmarkStart w:id="23" w:name="terms-and-conditions"/>
    <w:p>
      <w:pPr>
        <w:pStyle w:val="Heading3"/>
      </w:pPr>
      <w:r>
        <w:t xml:space="preserve">Terms and Conditions</w:t>
      </w:r>
    </w:p>
    <w:p>
      <w:pPr>
        <w:numPr>
          <w:ilvl w:val="0"/>
          <w:numId w:val="1001"/>
        </w:numPr>
        <w:pStyle w:val="Compact"/>
      </w:pPr>
      <w:r>
        <w:t xml:space="preserve">This Purchase Order is issued by Estudio de Peluquería "Corte &amp; Estilo" S.A.C., a registered hairdresser and beauty services company operating in the district of San Isidro, Lima, Peru, for the procurement of professional equipment and consumables necessary for the daily operation of its hairdresser salon.</w:t>
      </w:r>
    </w:p>
    <w:p>
      <w:pPr>
        <w:numPr>
          <w:ilvl w:val="0"/>
          <w:numId w:val="1001"/>
        </w:numPr>
        <w:pStyle w:val="Compact"/>
      </w:pPr>
      <w:r>
        <w:t xml:space="preserve">The supplier, Importadora de Productos de Belleza del Pacífico E.I.R.L., located in La Victoria, Lima, Peru, acknowledges receipt of this Purchase Order and agrees to fulfill all line items in accordance with the specifications, quantities, and delivery schedule stated herein.</w:t>
      </w:r>
    </w:p>
    <w:p>
      <w:pPr>
        <w:numPr>
          <w:ilvl w:val="0"/>
          <w:numId w:val="1001"/>
        </w:numPr>
        <w:pStyle w:val="Compact"/>
      </w:pPr>
      <w:r>
        <w:t xml:space="preserve">All products must comply with the technical regulations established by INACAL (Instituto Nacional de Calidad) and the consumer protection standards of INDECOPI, the Peruvian competition and consumer protection authority, applicable to beauty and hairdresser products sold within the Republic of Peru.</w:t>
      </w:r>
    </w:p>
    <w:p>
      <w:pPr>
        <w:numPr>
          <w:ilvl w:val="0"/>
          <w:numId w:val="1001"/>
        </w:numPr>
        <w:pStyle w:val="Compact"/>
      </w:pPr>
      <w:r>
        <w:t xml:space="preserve">Delivery shall be made to the receiving address in San Isidro, Lima, no later than June 26, 2025. The supplier is responsible for all transportation, handling, and insurance of goods until they are received and inspected at the hairdresser salon premises in Lima.</w:t>
      </w:r>
    </w:p>
    <w:p>
      <w:pPr>
        <w:numPr>
          <w:ilvl w:val="0"/>
          <w:numId w:val="1001"/>
        </w:numPr>
        <w:pStyle w:val="Compact"/>
      </w:pPr>
      <w:r>
        <w:t xml:space="preserve">Payment shall be made via bank transfer (transferencia bancaria) to the supplier's account in Peruvian Soles (PEN) within thirty (30) calendar days from the date of the electronic invoice (factura electrónica) issued in compliance with SUNAT (Superintendencia Nacional de Administración Tributaria) regulations for electronic billing in Peru.</w:t>
      </w:r>
    </w:p>
    <w:p>
      <w:pPr>
        <w:numPr>
          <w:ilvl w:val="0"/>
          <w:numId w:val="1001"/>
        </w:numPr>
        <w:pStyle w:val="Compact"/>
      </w:pPr>
      <w:r>
        <w:t xml:space="preserve">The buyer reserves the right to inspect all delivered items within five (5) business days of receipt. Any defective, damaged, or non-conforming hairdresser equipment or products must be reported in writing to the supplier, who shall replace or credit the affected items within ten (10) business days at no additional cost to the buyer.</w:t>
      </w:r>
    </w:p>
    <w:p>
      <w:pPr>
        <w:numPr>
          <w:ilvl w:val="0"/>
          <w:numId w:val="1001"/>
        </w:numPr>
        <w:pStyle w:val="Compact"/>
      </w:pPr>
      <w:r>
        <w:t xml:space="preserve">All professional hairdresser equipment included in this Purchase Order carries a minimum manufacturer warranty of twelve (12) months from the date of delivery in Lima. The supplier shall coordinate directly with the respective manufacturers for warranty claims and repairs.</w:t>
      </w:r>
    </w:p>
    <w:p>
      <w:pPr>
        <w:numPr>
          <w:ilvl w:val="0"/>
          <w:numId w:val="1001"/>
        </w:numPr>
        <w:pStyle w:val="Compact"/>
      </w:pPr>
      <w:r>
        <w:t xml:space="preserve">This Purchase Order is governed by the commercial laws of the Republic of Peru. Any disputes arising from this document shall be resolved through the competent commercial courts of the Judicial District of Lima, Peru.</w:t>
      </w:r>
    </w:p>
    <w:p>
      <w:pPr>
        <w:numPr>
          <w:ilvl w:val="0"/>
          <w:numId w:val="1001"/>
        </w:numPr>
        <w:pStyle w:val="Compact"/>
      </w:pPr>
      <w:r>
        <w:t xml:space="preserve">The supplier warrants that all imported hairdresser products are free of customs duties and import restrictions, and that all applicable Peruvian import taxes, IGV, and municipal fees have been or will be properly settled prior to delivery in Lima.</w:t>
      </w:r>
    </w:p>
    <w:p>
      <w:pPr>
        <w:numPr>
          <w:ilvl w:val="0"/>
          <w:numId w:val="1001"/>
        </w:numPr>
        <w:pStyle w:val="Compact"/>
      </w:pPr>
      <w:r>
        <w:t xml:space="preserve">Neither party may assign this Purchase Order or any obligations hereunder without the prior written consent of the other party. This document constitutes the entire agreement between the parties regarding the procurement of hairdresser supplies described herein.</w:t>
      </w:r>
    </w:p>
    <w:bookmarkEnd w:id="23"/>
    <w:p>
      <w:pPr>
        <w:pStyle w:val="FirstParagraph"/>
      </w:pPr>
      <w:r>
        <w:rPr>
          <w:bCs/>
          <w:b/>
        </w:rPr>
        <w:t xml:space="preserve">For the Buyer (Hairdresser Salon):</w:t>
      </w:r>
    </w:p>
    <w:p>
      <w:pPr>
        <w:pStyle w:val="BodyText"/>
      </w:pPr>
      <w:r>
        <w:t xml:space="preserve">María Fernanda Quispe Rojas</w:t>
      </w:r>
    </w:p>
    <w:p>
      <w:pPr>
        <w:pStyle w:val="BodyText"/>
      </w:pPr>
      <w:r>
        <w:t xml:space="preserve">Gerente General – Corte &amp; Estilo S.A.C.</w:t>
      </w:r>
    </w:p>
    <w:p>
      <w:pPr>
        <w:pStyle w:val="BodyText"/>
      </w:pPr>
      <w:r>
        <w:t xml:space="preserve">DNI: 45678912</w:t>
      </w:r>
    </w:p>
    <w:p>
      <w:pPr>
        <w:pStyle w:val="BodyText"/>
      </w:pPr>
      <w:r>
        <w:t xml:space="preserve">Date: _______________</w:t>
      </w:r>
    </w:p>
    <w:p>
      <w:pPr>
        <w:pStyle w:val="BodyText"/>
      </w:pPr>
      <w:r>
        <w:rPr>
          <w:bCs/>
          <w:b/>
        </w:rPr>
        <w:t xml:space="preserve">For the Supplier (Vendor):</w:t>
      </w:r>
    </w:p>
    <w:p>
      <w:pPr>
        <w:pStyle w:val="BodyText"/>
      </w:pPr>
      <w:r>
        <w:t xml:space="preserve">Carlos Alberto Mendoza Paredes</w:t>
      </w:r>
    </w:p>
    <w:p>
      <w:pPr>
        <w:pStyle w:val="BodyText"/>
      </w:pPr>
      <w:r>
        <w:t xml:space="preserve">Representante Legal – Belleza del Pacífico E.I.R.L.</w:t>
      </w:r>
    </w:p>
    <w:p>
      <w:pPr>
        <w:pStyle w:val="BodyText"/>
      </w:pPr>
      <w:r>
        <w:t xml:space="preserve">DNI: 41234567</w:t>
      </w:r>
    </w:p>
    <w:p>
      <w:pPr>
        <w:pStyle w:val="BodyText"/>
      </w:pPr>
      <w:r>
        <w:t xml:space="preserve">Date: _______________</w:t>
      </w:r>
    </w:p>
    <w:p>
      <w:pPr>
        <w:pStyle w:val="BodyText"/>
      </w:pPr>
      <w:r>
        <w:rPr>
          <w:bCs/>
          <w:b/>
        </w:rPr>
        <w:t xml:space="preserve">Note:</w:t>
      </w:r>
      <w:r>
        <w:t xml:space="preserve"> </w:t>
      </w:r>
      <w:r>
        <w:t xml:space="preserve">This Purchase Order (PO-2025-LIM-00487) is a binding commercial document for the procurement of hairdresser professional supplies and equipment in the city of Lima, Peru. All transactions are subject to Peruvian tax law (Ley del IGV, D.S. N° 055-99-EF) and commercial regulations. The buyer, a registered hairdresser establishment in Lima, confirms that all items listed are intended for professional salon use. This document must be retained for a minimum of ten (10) years in accordance with Peruvian tax record-keeping requirements. For any amendments or clarifications, both parties must execute a written addendum signed by authorized representatives in Lima, Peru.</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Supply - Peru Lima</dc:title>
  <dc:creator/>
  <dc:language>en</dc:language>
  <cp:keywords/>
  <dcterms:created xsi:type="dcterms:W3CDTF">2026-10-10T02:06:04Z</dcterms:created>
  <dcterms:modified xsi:type="dcterms:W3CDTF">2026-10-10T02:06:04Z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