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Valencia,</w:t>
      </w:r>
      <w:r>
        <w:t xml:space="preserve"> </w:t>
      </w:r>
      <w:r>
        <w:t xml:space="preserve">Spain</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PO-VAL-2025-00487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t xml:space="preserve">HAIRDRESSER SUPPLIES — VALENCIA, SPAIN</w:t>
      </w:r>
    </w:p>
    <w:bookmarkEnd w:id="20"/>
    <w:bookmarkStart w:id="21" w:name="buyer-hairdresser-establishment"/>
    <w:p>
      <w:pPr>
        <w:pStyle w:val="Heading3"/>
      </w:pPr>
      <w:r>
        <w:t xml:space="preserve">BUYER (Hairdresser Establishment)</w:t>
      </w:r>
    </w:p>
    <w:p>
      <w:pPr>
        <w:pStyle w:val="FirstParagraph"/>
      </w:pPr>
      <w:r>
        <w:rPr>
          <w:bCs/>
          <w:b/>
        </w:rPr>
        <w:t xml:space="preserve">Salón de Peluquería Mediterráneo S.L.</w:t>
      </w:r>
    </w:p>
    <w:p>
      <w:pPr>
        <w:pStyle w:val="BodyText"/>
      </w:pPr>
      <w:r>
        <w:t xml:space="preserve">C/ Colón, 42, 2ºA</w:t>
      </w:r>
    </w:p>
    <w:p>
      <w:pPr>
        <w:pStyle w:val="BodyText"/>
      </w:pPr>
      <w:r>
        <w:t xml:space="preserve">46004 Valencia, Comunitat Valenciana, Spain</w:t>
      </w:r>
    </w:p>
    <w:p>
      <w:pPr>
        <w:pStyle w:val="BodyText"/>
      </w:pPr>
      <w:r>
        <w:t xml:space="preserve">Tel: +34 963 554 218</w:t>
      </w:r>
    </w:p>
    <w:p>
      <w:pPr>
        <w:pStyle w:val="BodyText"/>
      </w:pPr>
      <w:r>
        <w:t xml:space="preserve">Email: compras@salonmediterraneo.es</w:t>
      </w:r>
    </w:p>
    <w:p>
      <w:pPr>
        <w:pStyle w:val="BodyText"/>
      </w:pPr>
      <w:r>
        <w:t xml:space="preserve">NIF: B-46882317</w:t>
      </w:r>
    </w:p>
    <w:bookmarkEnd w:id="21"/>
    <w:bookmarkStart w:id="22" w:name="supplier-vendor"/>
    <w:p>
      <w:pPr>
        <w:pStyle w:val="Heading3"/>
      </w:pPr>
      <w:r>
        <w:t xml:space="preserve">SUPPLIER / VENDOR</w:t>
      </w:r>
    </w:p>
    <w:p>
      <w:pPr>
        <w:pStyle w:val="FirstParagraph"/>
      </w:pPr>
      <w:r>
        <w:rPr>
          <w:bCs/>
          <w:b/>
        </w:rPr>
        <w:t xml:space="preserve">Profesional Hair Distribution Ibérica S.A.</w:t>
      </w:r>
    </w:p>
    <w:p>
      <w:pPr>
        <w:pStyle w:val="BodyText"/>
      </w:pPr>
      <w:r>
        <w:t xml:space="preserve">Polígono Industrial El Oliveral, Nave 17</w:t>
      </w:r>
    </w:p>
    <w:p>
      <w:pPr>
        <w:pStyle w:val="BodyText"/>
      </w:pPr>
      <w:r>
        <w:t xml:space="preserve">46185 Paterna, Valencia, Spain</w:t>
      </w:r>
    </w:p>
    <w:p>
      <w:pPr>
        <w:pStyle w:val="BodyText"/>
      </w:pPr>
      <w:r>
        <w:t xml:space="preserve">Tel: +34 961 337 892</w:t>
      </w:r>
    </w:p>
    <w:p>
      <w:pPr>
        <w:pStyle w:val="BodyText"/>
      </w:pPr>
      <w:r>
        <w:t xml:space="preserve">Email: ventas@phdiberica.com</w:t>
      </w:r>
    </w:p>
    <w:p>
      <w:pPr>
        <w:pStyle w:val="BodyText"/>
      </w:pPr>
      <w:r>
        <w:t xml:space="preserve">NIF: A-46110954</w:t>
      </w:r>
    </w:p>
    <w:bookmarkEnd w:id="22"/>
    <w:bookmarkStart w:id="23" w:name="X2cb607936b6df2e004b190131077a10f845edc1"/>
    <w:p>
      <w:pPr>
        <w:pStyle w:val="Heading2"/>
      </w:pPr>
      <w:r>
        <w:t xml:space="preserve">Order Details — Hairdresser Professional Products &amp; Equipment</w:t>
      </w:r>
    </w:p>
    <w:p>
      <w:pPr>
        <w:pStyle w:val="FirstParagraph"/>
      </w:pPr>
      <w:r>
        <w:t xml:space="preserve">This Purchase Order is issued by</w:t>
      </w:r>
      <w:r>
        <w:t xml:space="preserve"> </w:t>
      </w:r>
      <w:r>
        <w:rPr>
          <w:bCs/>
          <w:b/>
        </w:rPr>
        <w:t xml:space="preserve">Salón de Peluquería Mediterráneo S.L.</w:t>
      </w:r>
      <w:r>
        <w:t xml:space="preserve">, a registered hairdresser and beauty salon operating in the city of Valencia, Spain, for the procurement of professional hairdressing products, styling tools, and salon equipment. All items listed below are intended for use in our hairdresser services, including cutting, colouring, styling, and treatment procedures performed daily at our Valencia premises.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1</w:t>
            </w:r>
          </w:p>
        </w:tc>
        <w:tc>
          <w:tcPr/>
          <w:p>
            <w:pPr>
              <w:pStyle w:val="Compact"/>
              <w:jc w:val="left"/>
            </w:pPr>
            <w:r>
              <w:t xml:space="preserve">Professional Hair Colour Kit — Ammonia-Free, 12 Shades (Hairdresser Grade)</w:t>
            </w:r>
          </w:p>
        </w:tc>
        <w:tc>
          <w:tcPr/>
          <w:p>
            <w:pPr>
              <w:pStyle w:val="Compact"/>
              <w:jc w:val="left"/>
            </w:pPr>
            <w:r>
              <w:t xml:space="preserve">PHD-COL-1200</w:t>
            </w:r>
          </w:p>
        </w:tc>
        <w:tc>
          <w:tcPr/>
          <w:p>
            <w:pPr>
              <w:pStyle w:val="Compact"/>
              <w:jc w:val="left"/>
            </w:pPr>
            <w:r>
              <w:t xml:space="preserve">24</w:t>
            </w:r>
          </w:p>
        </w:tc>
        <w:tc>
          <w:tcPr/>
          <w:p>
            <w:pPr>
              <w:pStyle w:val="Compact"/>
              <w:jc w:val="left"/>
            </w:pPr>
            <w:r>
              <w:t xml:space="preserve">38.50</w:t>
            </w:r>
          </w:p>
        </w:tc>
        <w:tc>
          <w:tcPr/>
          <w:p>
            <w:pPr>
              <w:pStyle w:val="Compact"/>
              <w:jc w:val="left"/>
            </w:pPr>
            <w:r>
              <w:t xml:space="preserve">924.00</w:t>
            </w:r>
          </w:p>
        </w:tc>
      </w:tr>
      <w:tr>
        <w:tc>
          <w:tcPr/>
          <w:p>
            <w:pPr>
              <w:pStyle w:val="Compact"/>
              <w:jc w:val="left"/>
            </w:pPr>
            <w:r>
              <w:t xml:space="preserve">2</w:t>
            </w:r>
          </w:p>
        </w:tc>
        <w:tc>
          <w:tcPr/>
          <w:p>
            <w:pPr>
              <w:pStyle w:val="Compact"/>
              <w:jc w:val="left"/>
            </w:pPr>
            <w:r>
              <w:t xml:space="preserve">Ceramic Hair Dryer 2200W — Ionic, for Hairdresser Station</w:t>
            </w:r>
          </w:p>
        </w:tc>
        <w:tc>
          <w:tcPr/>
          <w:p>
            <w:pPr>
              <w:pStyle w:val="Compact"/>
              <w:jc w:val="left"/>
            </w:pPr>
            <w:r>
              <w:t xml:space="preserve">PHD-DRY-2200</w:t>
            </w:r>
          </w:p>
        </w:tc>
        <w:tc>
          <w:tcPr/>
          <w:p>
            <w:pPr>
              <w:pStyle w:val="Compact"/>
              <w:jc w:val="left"/>
            </w:pPr>
            <w:r>
              <w:t xml:space="preserve">4</w:t>
            </w:r>
          </w:p>
        </w:tc>
        <w:tc>
          <w:tcPr/>
          <w:p>
            <w:pPr>
              <w:pStyle w:val="Compact"/>
              <w:jc w:val="left"/>
            </w:pPr>
            <w:r>
              <w:t xml:space="preserve">189.00</w:t>
            </w:r>
          </w:p>
        </w:tc>
        <w:tc>
          <w:tcPr/>
          <w:p>
            <w:pPr>
              <w:pStyle w:val="Compact"/>
              <w:jc w:val="left"/>
            </w:pPr>
            <w:r>
              <w:t xml:space="preserve">756.00</w:t>
            </w:r>
          </w:p>
        </w:tc>
      </w:tr>
      <w:tr>
        <w:tc>
          <w:tcPr/>
          <w:p>
            <w:pPr>
              <w:pStyle w:val="Compact"/>
              <w:jc w:val="left"/>
            </w:pPr>
            <w:r>
              <w:t xml:space="preserve">3</w:t>
            </w:r>
          </w:p>
        </w:tc>
        <w:tc>
          <w:tcPr/>
          <w:p>
            <w:pPr>
              <w:pStyle w:val="Compact"/>
              <w:jc w:val="left"/>
            </w:pPr>
            <w:r>
              <w:t xml:space="preserve">Professional Flat Iron / Straightener 230°C, Titanium Plates</w:t>
            </w:r>
          </w:p>
        </w:tc>
        <w:tc>
          <w:tcPr/>
          <w:p>
            <w:pPr>
              <w:pStyle w:val="Compact"/>
              <w:jc w:val="left"/>
            </w:pPr>
            <w:r>
              <w:t xml:space="preserve">PHD-STR-230</w:t>
            </w:r>
          </w:p>
        </w:tc>
        <w:tc>
          <w:tcPr/>
          <w:p>
            <w:pPr>
              <w:pStyle w:val="Compact"/>
              <w:jc w:val="left"/>
            </w:pPr>
            <w:r>
              <w:t xml:space="preserve">6</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4</w:t>
            </w:r>
          </w:p>
        </w:tc>
        <w:tc>
          <w:tcPr/>
          <w:p>
            <w:pPr>
              <w:pStyle w:val="Compact"/>
              <w:jc w:val="left"/>
            </w:pPr>
            <w:r>
              <w:t xml:space="preserve">Salon Cutting Scissors Set (6-inch &amp; 7-inch), Japanese Steel</w:t>
            </w:r>
          </w:p>
        </w:tc>
        <w:tc>
          <w:tcPr/>
          <w:p>
            <w:pPr>
              <w:pStyle w:val="Compact"/>
              <w:jc w:val="left"/>
            </w:pPr>
            <w:r>
              <w:t xml:space="preserve">PHD-SCS-67</w:t>
            </w:r>
          </w:p>
        </w:tc>
        <w:tc>
          <w:tcPr/>
          <w:p>
            <w:pPr>
              <w:pStyle w:val="Compact"/>
              <w:jc w:val="left"/>
            </w:pPr>
            <w:r>
              <w:t xml:space="preserve">8</w:t>
            </w:r>
          </w:p>
        </w:tc>
        <w:tc>
          <w:tcPr/>
          <w:p>
            <w:pPr>
              <w:pStyle w:val="Compact"/>
              <w:jc w:val="left"/>
            </w:pPr>
            <w:r>
              <w:t xml:space="preserve">112.00</w:t>
            </w:r>
          </w:p>
        </w:tc>
        <w:tc>
          <w:tcPr/>
          <w:p>
            <w:pPr>
              <w:pStyle w:val="Compact"/>
              <w:jc w:val="left"/>
            </w:pPr>
            <w:r>
              <w:t xml:space="preserve">896.00</w:t>
            </w:r>
          </w:p>
        </w:tc>
      </w:tr>
      <w:tr>
        <w:tc>
          <w:tcPr/>
          <w:p>
            <w:pPr>
              <w:pStyle w:val="Compact"/>
              <w:jc w:val="left"/>
            </w:pPr>
            <w:r>
              <w:t xml:space="preserve">5</w:t>
            </w:r>
          </w:p>
        </w:tc>
        <w:tc>
          <w:tcPr/>
          <w:p>
            <w:pPr>
              <w:pStyle w:val="Compact"/>
              <w:jc w:val="left"/>
            </w:pPr>
            <w:r>
              <w:t xml:space="preserve">Deep Conditioning Hair Mask, 1000ml, Sulfate-Free (Hairdresser Bulk)</w:t>
            </w:r>
          </w:p>
        </w:tc>
        <w:tc>
          <w:tcPr/>
          <w:p>
            <w:pPr>
              <w:pStyle w:val="Compact"/>
              <w:jc w:val="left"/>
            </w:pPr>
            <w:r>
              <w:t xml:space="preserve">PHD-MSK-1000</w:t>
            </w:r>
          </w:p>
        </w:tc>
        <w:tc>
          <w:tcPr/>
          <w:p>
            <w:pPr>
              <w:pStyle w:val="Compact"/>
              <w:jc w:val="left"/>
            </w:pPr>
            <w:r>
              <w:t xml:space="preserve">30</w:t>
            </w:r>
          </w:p>
        </w:tc>
        <w:tc>
          <w:tcPr/>
          <w:p>
            <w:pPr>
              <w:pStyle w:val="Compact"/>
              <w:jc w:val="left"/>
            </w:pPr>
            <w:r>
              <w:t xml:space="preserve">22.80</w:t>
            </w:r>
          </w:p>
        </w:tc>
        <w:tc>
          <w:tcPr/>
          <w:p>
            <w:pPr>
              <w:pStyle w:val="Compact"/>
              <w:jc w:val="left"/>
            </w:pPr>
            <w:r>
              <w:t xml:space="preserve">684.00</w:t>
            </w:r>
          </w:p>
        </w:tc>
      </w:tr>
      <w:tr>
        <w:tc>
          <w:tcPr/>
          <w:p>
            <w:pPr>
              <w:pStyle w:val="Compact"/>
              <w:jc w:val="left"/>
            </w:pPr>
            <w:r>
              <w:t xml:space="preserve">6</w:t>
            </w:r>
          </w:p>
        </w:tc>
        <w:tc>
          <w:tcPr/>
          <w:p>
            <w:pPr>
              <w:pStyle w:val="Compact"/>
              <w:jc w:val="left"/>
            </w:pPr>
            <w:r>
              <w:t xml:space="preserve">Thermal Protection Spray, 300ml, UV Filter</w:t>
            </w:r>
          </w:p>
        </w:tc>
        <w:tc>
          <w:tcPr/>
          <w:p>
            <w:pPr>
              <w:pStyle w:val="Compact"/>
              <w:jc w:val="left"/>
            </w:pPr>
            <w:r>
              <w:t xml:space="preserve">PHD-SPR-300</w:t>
            </w:r>
          </w:p>
        </w:tc>
        <w:tc>
          <w:tcPr/>
          <w:p>
            <w:pPr>
              <w:pStyle w:val="Compact"/>
              <w:jc w:val="left"/>
            </w:pPr>
            <w:r>
              <w:t xml:space="preserve">40</w:t>
            </w:r>
          </w:p>
        </w:tc>
        <w:tc>
          <w:tcPr/>
          <w:p>
            <w:pPr>
              <w:pStyle w:val="Compact"/>
              <w:jc w:val="left"/>
            </w:pPr>
            <w:r>
              <w:t xml:space="preserve">14.50</w:t>
            </w:r>
          </w:p>
        </w:tc>
        <w:tc>
          <w:tcPr/>
          <w:p>
            <w:pPr>
              <w:pStyle w:val="Compact"/>
              <w:jc w:val="left"/>
            </w:pPr>
            <w:r>
              <w:t xml:space="preserve">580.00</w:t>
            </w:r>
          </w:p>
        </w:tc>
      </w:tr>
      <w:tr>
        <w:tc>
          <w:tcPr/>
          <w:p>
            <w:pPr>
              <w:pStyle w:val="Compact"/>
              <w:jc w:val="left"/>
            </w:pPr>
            <w:r>
              <w:t xml:space="preserve">7</w:t>
            </w:r>
          </w:p>
        </w:tc>
        <w:tc>
          <w:tcPr/>
          <w:p>
            <w:pPr>
              <w:pStyle w:val="Compact"/>
              <w:jc w:val="left"/>
            </w:pPr>
            <w:r>
              <w:t xml:space="preserve">Salon Chair, Hydraulic, Leather Upholstery (for Hairdresser Station)</w:t>
            </w:r>
          </w:p>
        </w:tc>
        <w:tc>
          <w:tcPr/>
          <w:p>
            <w:pPr>
              <w:pStyle w:val="Compact"/>
              <w:jc w:val="left"/>
            </w:pPr>
            <w:r>
              <w:t xml:space="preserve">PHD-CHR-HYD</w:t>
            </w:r>
          </w:p>
        </w:tc>
        <w:tc>
          <w:tcPr/>
          <w:p>
            <w:pPr>
              <w:pStyle w:val="Compact"/>
              <w:jc w:val="left"/>
            </w:pPr>
            <w:r>
              <w:t xml:space="preserve">3</w:t>
            </w:r>
          </w:p>
        </w:tc>
        <w:tc>
          <w:tcPr/>
          <w:p>
            <w:pPr>
              <w:pStyle w:val="Compact"/>
              <w:jc w:val="left"/>
            </w:pPr>
            <w:r>
              <w:t xml:space="preserve">620.00</w:t>
            </w:r>
          </w:p>
        </w:tc>
        <w:tc>
          <w:tcPr/>
          <w:p>
            <w:pPr>
              <w:pStyle w:val="Compact"/>
              <w:jc w:val="left"/>
            </w:pPr>
            <w:r>
              <w:t xml:space="preserve">1,860.00</w:t>
            </w:r>
          </w:p>
        </w:tc>
      </w:tr>
      <w:tr>
        <w:tc>
          <w:tcPr/>
          <w:p>
            <w:pPr>
              <w:pStyle w:val="Compact"/>
              <w:jc w:val="left"/>
            </w:pPr>
            <w:r>
              <w:t xml:space="preserve">8</w:t>
            </w:r>
          </w:p>
        </w:tc>
        <w:tc>
          <w:tcPr/>
          <w:p>
            <w:pPr>
              <w:pStyle w:val="Compact"/>
              <w:jc w:val="left"/>
            </w:pPr>
            <w:r>
              <w:t xml:space="preserve">Stainless Steel Hair Washing Basin, Wall-Mounted, Valencia Standard</w:t>
            </w:r>
          </w:p>
        </w:tc>
        <w:tc>
          <w:tcPr/>
          <w:p>
            <w:pPr>
              <w:pStyle w:val="Compact"/>
              <w:jc w:val="left"/>
            </w:pPr>
            <w:r>
              <w:t xml:space="preserve">PHD-BAS-SS</w:t>
            </w:r>
          </w:p>
        </w:tc>
        <w:tc>
          <w:tcPr/>
          <w:p>
            <w:pPr>
              <w:pStyle w:val="Compact"/>
              <w:jc w:val="left"/>
            </w:pPr>
            <w:r>
              <w:t xml:space="preserve">2</w:t>
            </w:r>
          </w:p>
        </w:tc>
        <w:tc>
          <w:tcPr/>
          <w:p>
            <w:pPr>
              <w:pStyle w:val="Compact"/>
              <w:jc w:val="left"/>
            </w:pPr>
            <w:r>
              <w:t xml:space="preserve">485.00</w:t>
            </w:r>
          </w:p>
        </w:tc>
        <w:tc>
          <w:tcPr/>
          <w:p>
            <w:pPr>
              <w:pStyle w:val="Compact"/>
              <w:jc w:val="left"/>
            </w:pPr>
            <w:r>
              <w:t xml:space="preserve">970.00</w:t>
            </w:r>
          </w:p>
        </w:tc>
      </w:tr>
      <w:tr>
        <w:tc>
          <w:tcPr/>
          <w:p>
            <w:pPr>
              <w:pStyle w:val="Compact"/>
              <w:jc w:val="left"/>
            </w:pPr>
            <w:r>
              <w:t xml:space="preserve">9</w:t>
            </w:r>
          </w:p>
        </w:tc>
        <w:tc>
          <w:tcPr/>
          <w:p>
            <w:pPr>
              <w:pStyle w:val="Compact"/>
              <w:jc w:val="left"/>
            </w:pPr>
            <w:r>
              <w:t xml:space="preserve">Disposable Hairdresser Capes &amp; Towels (Pack of 200)</w:t>
            </w:r>
          </w:p>
        </w:tc>
        <w:tc>
          <w:tcPr/>
          <w:p>
            <w:pPr>
              <w:pStyle w:val="Compact"/>
              <w:jc w:val="left"/>
            </w:pPr>
            <w:r>
              <w:t xml:space="preserve">PHD-CAP-200</w:t>
            </w:r>
          </w:p>
        </w:tc>
        <w:tc>
          <w:tcPr/>
          <w:p>
            <w:pPr>
              <w:pStyle w:val="Compact"/>
              <w:jc w:val="left"/>
            </w:pPr>
            <w:r>
              <w:t xml:space="preserve">10</w:t>
            </w:r>
          </w:p>
        </w:tc>
        <w:tc>
          <w:tcPr/>
          <w:p>
            <w:pPr>
              <w:pStyle w:val="Compact"/>
              <w:jc w:val="left"/>
            </w:pPr>
            <w:r>
              <w:t xml:space="preserve">32.00</w:t>
            </w:r>
          </w:p>
        </w:tc>
        <w:tc>
          <w:tcPr/>
          <w:p>
            <w:pPr>
              <w:pStyle w:val="Compact"/>
              <w:jc w:val="left"/>
            </w:pPr>
            <w:r>
              <w:t xml:space="preserve">320.00</w:t>
            </w:r>
          </w:p>
        </w:tc>
      </w:tr>
      <w:tr>
        <w:tc>
          <w:tcPr/>
          <w:p>
            <w:pPr>
              <w:pStyle w:val="Compact"/>
              <w:jc w:val="left"/>
            </w:pPr>
            <w:r>
              <w:t xml:space="preserve">10</w:t>
            </w:r>
          </w:p>
        </w:tc>
        <w:tc>
          <w:tcPr/>
          <w:p>
            <w:pPr>
              <w:pStyle w:val="Compact"/>
              <w:jc w:val="left"/>
            </w:pPr>
            <w:r>
              <w:t xml:space="preserve">Permanente / Perm Solution Kit, 40ml, Professional Hairdresser Use</w:t>
            </w:r>
          </w:p>
        </w:tc>
        <w:tc>
          <w:tcPr/>
          <w:p>
            <w:pPr>
              <w:pStyle w:val="Compact"/>
              <w:jc w:val="left"/>
            </w:pPr>
            <w:r>
              <w:t xml:space="preserve">PHD-PER-40</w:t>
            </w:r>
          </w:p>
        </w:tc>
        <w:tc>
          <w:tcPr/>
          <w:p>
            <w:pPr>
              <w:pStyle w:val="Compact"/>
              <w:jc w:val="left"/>
            </w:pPr>
            <w:r>
              <w:t xml:space="preserve">18</w:t>
            </w:r>
          </w:p>
        </w:tc>
        <w:tc>
          <w:tcPr/>
          <w:p>
            <w:pPr>
              <w:pStyle w:val="Compact"/>
              <w:jc w:val="left"/>
            </w:pPr>
            <w:r>
              <w:t xml:space="preserve">28.90</w:t>
            </w:r>
          </w:p>
        </w:tc>
        <w:tc>
          <w:tcPr/>
          <w:p>
            <w:pPr>
              <w:pStyle w:val="Compact"/>
              <w:jc w:val="left"/>
            </w:pPr>
            <w:r>
              <w:t xml:space="preserve">520.20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8,380.20 EUR</w:t>
            </w:r>
          </w:p>
        </w:tc>
      </w:tr>
      <w:tr>
        <w:tc>
          <w:tcPr/>
          <w:p>
            <w:pPr>
              <w:pStyle w:val="Compact"/>
              <w:jc w:val="left"/>
            </w:pPr>
            <w:r>
              <w:t xml:space="preserve">VAT (IVA) — 21% (Spain)</w:t>
            </w:r>
          </w:p>
        </w:tc>
        <w:tc>
          <w:tcPr/>
          <w:p>
            <w:pPr>
              <w:pStyle w:val="Compact"/>
              <w:jc w:val="left"/>
            </w:pPr>
            <w:r>
              <w:t xml:space="preserve">1,759.84 EUR</w:t>
            </w:r>
          </w:p>
        </w:tc>
      </w:tr>
      <w:tr>
        <w:tc>
          <w:tcPr/>
          <w:p>
            <w:pPr>
              <w:pStyle w:val="Compact"/>
              <w:jc w:val="left"/>
            </w:pPr>
            <w:r>
              <w:t xml:space="preserve">Delivery within Valencia Metropolitan Area</w:t>
            </w:r>
          </w:p>
        </w:tc>
        <w:tc>
          <w:tcPr/>
          <w:p>
            <w:pPr>
              <w:pStyle w:val="Compact"/>
              <w:jc w:val="left"/>
            </w:pPr>
            <w:r>
              <w:t xml:space="preserve">45.00 EUR</w:t>
            </w:r>
          </w:p>
        </w:tc>
      </w:tr>
      <w:tr>
        <w:tc>
          <w:tcPr/>
          <w:p>
            <w:pPr>
              <w:pStyle w:val="Compact"/>
              <w:jc w:val="left"/>
            </w:pPr>
            <w:r>
              <w:t xml:space="preserve">GRAND TOTAL</w:t>
            </w:r>
          </w:p>
        </w:tc>
        <w:tc>
          <w:tcPr/>
          <w:p>
            <w:pPr>
              <w:pStyle w:val="Compact"/>
              <w:jc w:val="left"/>
            </w:pPr>
            <w:r>
              <w:t xml:space="preserve">10,185.04 EUR</w:t>
            </w:r>
          </w:p>
        </w:tc>
      </w:tr>
    </w:tbl>
    <w:bookmarkEnd w:id="23"/>
    <w:bookmarkStart w:id="24" w:name="delivery-logistics-information"/>
    <w:p>
      <w:pPr>
        <w:pStyle w:val="Heading2"/>
      </w:pPr>
      <w:r>
        <w:t xml:space="preserve">Delivery &amp; Logistics Information</w:t>
      </w:r>
    </w:p>
    <w:p>
      <w:pPr>
        <w:pStyle w:val="FirstParagraph"/>
      </w:pPr>
      <w:r>
        <w:t xml:space="preserve">All goods ordered under this Purchase Order shall be delivered to the hairdresser premises located at C/ Colón, 42, 2ºA, 46004 Valencia, Spain. The supplier is required to coordinate delivery with the salon manager, as the hairdresser operates between 09:00 and 20:00 on weekdays and 09:00 to 14:00 on Saturdays. Delivery must be completed no later than 28 June 2025 to ensure uninterrupted service to our clients in Valencia. The supplier shall provide a minimum of 48 hours' written confirmation of the delivery date and time window. All packaging must comply with the waste management regulations of the Comunitat Valenciana, and any pallets or cardboard must be removed from the premises by the delivery personnel.</w:t>
      </w:r>
    </w:p>
    <w:bookmarkEnd w:id="24"/>
    <w:bookmarkStart w:id="25" w:name="payment-terms"/>
    <w:p>
      <w:pPr>
        <w:pStyle w:val="Heading2"/>
      </w:pPr>
      <w:r>
        <w:t xml:space="preserve">Payment Terms</w:t>
      </w:r>
    </w:p>
    <w:p>
      <w:pPr>
        <w:numPr>
          <w:ilvl w:val="0"/>
          <w:numId w:val="1001"/>
        </w:numPr>
        <w:pStyle w:val="Compact"/>
      </w:pPr>
      <w:r>
        <w:t xml:space="preserve">Payment shall be made by direct bank transfer (SEPA) to the supplier's account within</w:t>
      </w:r>
      <w:r>
        <w:t xml:space="preserve"> </w:t>
      </w:r>
      <w:r>
        <w:rPr>
          <w:bCs/>
          <w:b/>
        </w:rPr>
        <w:t xml:space="preserve">30 days</w:t>
      </w:r>
      <w:r>
        <w:t xml:space="preserve"> </w:t>
      </w:r>
      <w:r>
        <w:t xml:space="preserve">from the date of invoice receipt.</w:t>
      </w:r>
    </w:p>
    <w:p>
      <w:pPr>
        <w:numPr>
          <w:ilvl w:val="0"/>
          <w:numId w:val="1001"/>
        </w:numPr>
        <w:pStyle w:val="Compact"/>
      </w:pPr>
      <w:r>
        <w:t xml:space="preserve">Bank: CaixaBank S.A. | IBAN: ES91 2100 0418 4502 0005 1332 | BIC/SWIFT: CAIXESBBXXX</w:t>
      </w:r>
    </w:p>
    <w:p>
      <w:pPr>
        <w:numPr>
          <w:ilvl w:val="0"/>
          <w:numId w:val="1001"/>
        </w:numPr>
        <w:pStyle w:val="Compact"/>
      </w:pPr>
      <w:r>
        <w:t xml:space="preserve">A 2% discount shall apply if payment is received within 10 days of the invoice date.</w:t>
      </w:r>
    </w:p>
    <w:p>
      <w:pPr>
        <w:numPr>
          <w:ilvl w:val="0"/>
          <w:numId w:val="1001"/>
        </w:numPr>
        <w:pStyle w:val="Compact"/>
      </w:pPr>
      <w:r>
        <w:t xml:space="preserve">All prices are quoted in Euros (EUR) and are inclusive of applicable Spanish VAT (IVA) at the standard rate of 21%, as governed by the Ley General Tributaria of Spain.</w:t>
      </w:r>
    </w:p>
    <w:p>
      <w:pPr>
        <w:numPr>
          <w:ilvl w:val="0"/>
          <w:numId w:val="1001"/>
        </w:numPr>
        <w:pStyle w:val="Compact"/>
      </w:pPr>
      <w:r>
        <w:t xml:space="preserve">Any late payment shall incur interest at the rate established by the Ley 3/2004 de 29 de diciembre, de lucha contra la morosidad en las operaciones comerciales.</w:t>
      </w:r>
    </w:p>
    <w:bookmarkEnd w:id="25"/>
    <w:bookmarkStart w:id="26" w:name="terms-conditions"/>
    <w:p>
      <w:pPr>
        <w:pStyle w:val="Heading2"/>
      </w:pPr>
      <w:r>
        <w:t xml:space="preserve">Terms &amp; Conditions</w:t>
      </w:r>
    </w:p>
    <w:p>
      <w:pPr>
        <w:numPr>
          <w:ilvl w:val="0"/>
          <w:numId w:val="1002"/>
        </w:numPr>
        <w:pStyle w:val="Compact"/>
      </w:pPr>
      <w:r>
        <w:t xml:space="preserve">This Purchase Order constitutes a binding agreement between the hairdresser establishment (Buyer) and the supplier (Seller) for the supply of professional hairdressing products and equipment in Valencia, Spain.</w:t>
      </w:r>
    </w:p>
    <w:p>
      <w:pPr>
        <w:numPr>
          <w:ilvl w:val="0"/>
          <w:numId w:val="1002"/>
        </w:numPr>
        <w:pStyle w:val="Compact"/>
      </w:pPr>
      <w:r>
        <w:t xml:space="preserve">All products must be new, unused, and in their original manufacturer packaging. Any item found to be defective, damaged in transit, or not conforming to the specifications stated in this Purchase Order must be reported within 7 calendar days of delivery. The supplier shall replace or refund the affected items at no additional cost to the hairdresser.</w:t>
      </w:r>
    </w:p>
    <w:p>
      <w:pPr>
        <w:numPr>
          <w:ilvl w:val="0"/>
          <w:numId w:val="1002"/>
        </w:numPr>
        <w:pStyle w:val="Compact"/>
      </w:pPr>
      <w:r>
        <w:t xml:space="preserve">The supplier warrants that all hair colour products, chemical solutions, and styling tools comply with the European Cosmetics Regulation (EC) No 1223/2009 and the relevant Spanish Royal Decree (Real Decreto 1581/1997) governing the sale and use of cosmetic and hairdressing products in Spain.</w:t>
      </w:r>
    </w:p>
    <w:p>
      <w:pPr>
        <w:numPr>
          <w:ilvl w:val="0"/>
          <w:numId w:val="1002"/>
        </w:numPr>
        <w:pStyle w:val="Compact"/>
      </w:pPr>
      <w:r>
        <w:t xml:space="preserve">Intellectual property: All branded products supplied under this Purchase Order are to be used exclusively within the licensed hairdresser premises in Valencia and shall not be resold or distributed to third parties.</w:t>
      </w:r>
    </w:p>
    <w:p>
      <w:pPr>
        <w:numPr>
          <w:ilvl w:val="0"/>
          <w:numId w:val="1002"/>
        </w:numPr>
        <w:pStyle w:val="Compact"/>
      </w:pPr>
      <w:r>
        <w:t xml:space="preserve">Force Majeure: Neither party shall be liable for failure to perform obligations due to events beyond reasonable control, including but not limited to natural disasters, government-mandated closures, or supply chain disruptions affecting the Valencia region.</w:t>
      </w:r>
    </w:p>
    <w:p>
      <w:pPr>
        <w:numPr>
          <w:ilvl w:val="0"/>
          <w:numId w:val="1002"/>
        </w:numPr>
        <w:pStyle w:val="Compact"/>
      </w:pPr>
      <w:r>
        <w:t xml:space="preserve">Governing Law: This Purchase Order shall be governed by and construed in accordance with the laws of Spain. Any disputes arising from this order shall be subject to the exclusive jurisdiction of the courts of Valencia, Comunitat Valenciana.</w:t>
      </w:r>
    </w:p>
    <w:p>
      <w:pPr>
        <w:numPr>
          <w:ilvl w:val="0"/>
          <w:numId w:val="1002"/>
        </w:numPr>
        <w:pStyle w:val="Compact"/>
      </w:pPr>
      <w:r>
        <w:t xml:space="preserve">Confidentiality: Both parties agree to maintain confidentiality regarding pricing, order volumes, and business terms contained in this Purchase Order.</w:t>
      </w:r>
    </w:p>
    <w:p>
      <w:pPr>
        <w:pStyle w:val="FirstParagraph"/>
      </w:pPr>
      <w:r>
        <w:rPr>
          <w:bCs/>
          <w:b/>
        </w:rPr>
        <w:t xml:space="preserve">Note:</w:t>
      </w:r>
      <w:r>
        <w:t xml:space="preserve"> </w:t>
      </w:r>
      <w:r>
        <w:t xml:space="preserve">This Purchase Order is part of the quarterly procurement cycle for our hairdresser services in Valencia. The items ordered support our full range of services including precision cutting, balayage and full colour applications, keratin treatments, permanent waving, and bridal styling. All chemical products must display the appropriate Spanish-language safety data sheets (Fichas de Datos de Seguridad) upon delivery, in compliance with the Reglamento (CE) 1907/2006 (REACH) as transposed into Spanish law.</w:t>
      </w:r>
    </w:p>
    <w:bookmarkEnd w:id="26"/>
    <w:bookmarkStart w:id="27" w:name="authorisation-signatures"/>
    <w:p>
      <w:pPr>
        <w:pStyle w:val="Heading2"/>
      </w:pPr>
      <w:r>
        <w:t xml:space="preserve">Authorisation &amp; Signatures</w:t>
      </w:r>
    </w:p>
    <w:p>
      <w:pPr>
        <w:pStyle w:val="FirstParagraph"/>
      </w:pPr>
      <w:r>
        <w:rPr>
          <w:bCs/>
          <w:b/>
        </w:rPr>
        <w:t xml:space="preserve">For and on behalf of the Buyer (Hairdresser):</w:t>
      </w:r>
    </w:p>
    <w:p>
      <w:pPr>
        <w:pStyle w:val="BodyText"/>
      </w:pPr>
      <w:r>
        <w:t xml:space="preserve">Salón de Peluquería Mediterráneo S.L.</w:t>
      </w:r>
    </w:p>
    <w:p>
      <w:pPr>
        <w:pStyle w:val="BodyText"/>
      </w:pPr>
      <w:r>
        <w:rPr>
          <w:bCs/>
          <w:b/>
        </w:rPr>
        <w:t xml:space="preserve">Name:</w:t>
      </w:r>
      <w:r>
        <w:t xml:space="preserve"> </w:t>
      </w:r>
      <w:r>
        <w:t xml:space="preserve">María Élvarez Sanchis</w:t>
      </w:r>
      <w:r>
        <w:br/>
      </w:r>
      <w:r>
        <w:rPr>
          <w:bCs/>
          <w:b/>
        </w:rPr>
        <w:t xml:space="preserve">Position:</w:t>
      </w:r>
      <w:r>
        <w:t xml:space="preserve"> </w:t>
      </w:r>
      <w:r>
        <w:t xml:space="preserve">Gerente / Owner — Hairdresser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Supplier:</w:t>
      </w:r>
    </w:p>
    <w:p>
      <w:pPr>
        <w:pStyle w:val="BodyText"/>
      </w:pPr>
      <w:r>
        <w:t xml:space="preserve">Profesional Hair Distribution Ibérica S.A.</w:t>
      </w:r>
    </w:p>
    <w:p>
      <w:pPr>
        <w:pStyle w:val="BodyText"/>
      </w:pPr>
      <w:r>
        <w:rPr>
          <w:bCs/>
          <w:b/>
        </w:rPr>
        <w:t xml:space="preserve">Name:</w:t>
      </w:r>
      <w:r>
        <w:t xml:space="preserve"> </w:t>
      </w:r>
      <w:r>
        <w:t xml:space="preserve">Carlos Ferrer Domínguez</w:t>
      </w:r>
      <w:r>
        <w:br/>
      </w:r>
      <w:r>
        <w:rPr>
          <w:bCs/>
          <w:b/>
        </w:rPr>
        <w:t xml:space="preserve">Position:</w:t>
      </w:r>
      <w:r>
        <w:t xml:space="preserve"> </w:t>
      </w:r>
      <w:r>
        <w:t xml:space="preserve">Jefe de Ventas / Sales Manager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t xml:space="preserve">© 2025 Salón de Peluquería Mediterráneo S.L. — Purchase Order PO-VAL-2025-00487 — Hairdresser Procurement Document — Valencia, Spain.</w:t>
      </w:r>
      <w:r>
        <w:br/>
      </w:r>
      <w:r>
        <w:t xml:space="preserve">This document is valid only when signed by both parties. Please retain a copy for your records.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Valencia, Spain</dc:title>
  <dc:creator/>
  <dc:language>en</dc:language>
  <cp:keywords/>
  <dcterms:created xsi:type="dcterms:W3CDTF">2026-10-10T03:53:13Z</dcterms:created>
  <dcterms:modified xsi:type="dcterms:W3CDTF">2026-10-10T03:53:13Z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