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Golden Scissors Hair Studio LLC</w:t>
      </w:r>
    </w:p>
    <w:p>
      <w:pPr>
        <w:pStyle w:val="BodyText"/>
      </w:pPr>
      <w:r>
        <w:t xml:space="preserve">Office 412, Level 4, Marina Plaza Tower, Dubai Marina, United Arab Emirates Dubai</w:t>
      </w:r>
    </w:p>
    <w:p>
      <w:pPr>
        <w:pStyle w:val="BodyText"/>
      </w:pPr>
      <w:r>
        <w:t xml:space="preserve">Tel: +971 4 555 8821 | Email: procurement@goldenscissors.ae | TRN: 100234567800003</w:t>
      </w:r>
    </w:p>
    <w:p>
      <w:pPr>
        <w:pStyle w:val="BodyText"/>
      </w:pPr>
      <w:r>
        <w:t xml:space="preserve">Trade License No: 102345678 | DED Registration: Dubai Economic Department</w:t>
      </w:r>
    </w:p>
    <w:bookmarkEnd w:id="20"/>
    <w:p>
      <w:pPr>
        <w:pStyle w:val="BodyText"/>
      </w:pPr>
      <w:r>
        <w:t xml:space="preserve">Purchase Order No: PO-2025-00472</w:t>
      </w:r>
    </w:p>
    <w:p>
      <w:pPr>
        <w:pStyle w:val="BodyText"/>
      </w:pPr>
      <w:r>
        <w:t xml:space="preserve">Date of Issue: 14 June 2025</w:t>
      </w:r>
    </w:p>
    <w:p>
      <w:pPr>
        <w:pStyle w:val="BodyText"/>
      </w:pPr>
      <w:r>
        <w:t xml:space="preserve">Required Delivery Date: 28 June 2025</w:t>
      </w:r>
    </w:p>
    <w:p>
      <w:pPr>
        <w:pStyle w:val="BodyText"/>
      </w:pPr>
      <w:r>
        <w:t xml:space="preserve">Delivery Location: Golden Scissors Hair Studio, Dubai Marina, United Arab Emirates Dubai</w:t>
      </w:r>
    </w:p>
    <w:p>
      <w:pPr>
        <w:pStyle w:val="BodyText"/>
      </w:pPr>
      <w:r>
        <w:t xml:space="preserve">Supplier Name: ProStyle Professional Supplies FZE</w:t>
      </w:r>
    </w:p>
    <w:p>
      <w:pPr>
        <w:pStyle w:val="BodyText"/>
      </w:pPr>
      <w:r>
        <w:t xml:space="preserve">Supplier Address: Warehouse 7, Jebel Ali Free Zone, United Arab Emirates Dubai</w:t>
      </w:r>
    </w:p>
    <w:p>
      <w:pPr>
        <w:pStyle w:val="BodyText"/>
      </w:pPr>
      <w:r>
        <w:t xml:space="preserve">Supplier Contact: Mr. Ahmed Al Mansoori</w:t>
      </w:r>
    </w:p>
    <w:p>
      <w:pPr>
        <w:pStyle w:val="BodyText"/>
      </w:pPr>
      <w:r>
        <w:t xml:space="preserve">Payment Terms: Net 30 Days from Invoice Date</w:t>
      </w:r>
    </w:p>
    <w:p>
      <w:pPr>
        <w:pStyle w:val="BodyText"/>
      </w:pPr>
      <w:r>
        <w:t xml:space="preserve">Line Items – Hairdresser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Hairdryer, Ionic Technology, 2200W – For Hairdresser Station Use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02</w:t>
            </w:r>
          </w:p>
        </w:tc>
        <w:tc>
          <w:tcPr/>
          <w:p>
            <w:pPr>
              <w:pStyle w:val="Compact"/>
              <w:jc w:val="left"/>
            </w:pPr>
            <w:r>
              <w:t xml:space="preserve">Ceramic Flat Iron, 185°C, Titanium Coating – Hairdresser Styling Tool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03</w:t>
            </w:r>
          </w:p>
        </w:tc>
        <w:tc>
          <w:tcPr/>
          <w:p>
            <w:pPr>
              <w:pStyle w:val="Compact"/>
              <w:jc w:val="left"/>
            </w:pPr>
            <w:r>
              <w:t xml:space="preserve">Professional Hair Cutting Scissors Set (6-inch &amp; 7-inch), Japanese Steel</w:t>
            </w:r>
          </w:p>
        </w:tc>
        <w:tc>
          <w:tcPr/>
          <w:p>
            <w:pPr>
              <w:pStyle w:val="Compact"/>
              <w:jc w:val="left"/>
            </w:pPr>
            <w:r>
              <w:t xml:space="preserve">8</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Hydraulic Hairdresser Styling Chair, Ergonomic, Chrome Base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Shampoo Bowl with Backrest, Ceramic, Wall-Mounted</w:t>
            </w:r>
          </w:p>
        </w:tc>
        <w:tc>
          <w:tcPr/>
          <w:p>
            <w:pPr>
              <w:pStyle w:val="Compact"/>
              <w:jc w:val="left"/>
            </w:pPr>
            <w:r>
              <w:t xml:space="preserve">3</w:t>
            </w:r>
          </w:p>
        </w:tc>
        <w:tc>
          <w:tcPr/>
          <w:p>
            <w:pPr>
              <w:pStyle w:val="Compact"/>
              <w:jc w:val="left"/>
            </w:pPr>
            <w:r>
              <w:t xml:space="preserve">Units</w:t>
            </w:r>
          </w:p>
        </w:tc>
        <w:tc>
          <w:tcPr/>
          <w:p>
            <w:pPr>
              <w:pStyle w:val="Compact"/>
              <w:jc w:val="left"/>
            </w:pPr>
            <w:r>
              <w:t xml:space="preserve">2,450.00</w:t>
            </w:r>
          </w:p>
        </w:tc>
        <w:tc>
          <w:tcPr/>
          <w:p>
            <w:pPr>
              <w:pStyle w:val="Compact"/>
              <w:jc w:val="left"/>
            </w:pPr>
            <w:r>
              <w:t xml:space="preserve">7,350.00</w:t>
            </w:r>
          </w:p>
        </w:tc>
      </w:tr>
      <w:tr>
        <w:tc>
          <w:tcPr/>
          <w:p>
            <w:pPr>
              <w:pStyle w:val="Compact"/>
              <w:jc w:val="left"/>
            </w:pPr>
            <w:r>
              <w:t xml:space="preserve">06</w:t>
            </w:r>
          </w:p>
        </w:tc>
        <w:tc>
          <w:tcPr/>
          <w:p>
            <w:pPr>
              <w:pStyle w:val="Compact"/>
              <w:jc w:val="left"/>
            </w:pPr>
            <w:r>
              <w:t xml:space="preserve">Professional Hair Colour Kit – Ammonia-Free, 24 Shades (1000ml each)</w:t>
            </w:r>
          </w:p>
        </w:tc>
        <w:tc>
          <w:tcPr/>
          <w:p>
            <w:pPr>
              <w:pStyle w:val="Compact"/>
              <w:jc w:val="left"/>
            </w:pPr>
            <w:r>
              <w:t xml:space="preserve">48</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07</w:t>
            </w:r>
          </w:p>
        </w:tc>
        <w:tc>
          <w:tcPr/>
          <w:p>
            <w:pPr>
              <w:pStyle w:val="Compact"/>
              <w:jc w:val="left"/>
            </w:pPr>
            <w:r>
              <w:t xml:space="preserve">Developer Cream, 20 Volume, 1000ml – For Hairdresser Colouring Service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08</w:t>
            </w:r>
          </w:p>
        </w:tc>
        <w:tc>
          <w:tcPr/>
          <w:p>
            <w:pPr>
              <w:pStyle w:val="Compact"/>
              <w:jc w:val="left"/>
            </w:pPr>
            <w:r>
              <w:t xml:space="preserve">Disposable Hairdresser Capes, Premium Waterproof, 500-Pack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310.00</w:t>
            </w:r>
          </w:p>
        </w:tc>
        <w:tc>
          <w:tcPr/>
          <w:p>
            <w:pPr>
              <w:pStyle w:val="Compact"/>
              <w:jc w:val="left"/>
            </w:pPr>
            <w:r>
              <w:t xml:space="preserve">3,100.00</w:t>
            </w:r>
          </w:p>
        </w:tc>
      </w:tr>
      <w:tr>
        <w:tc>
          <w:tcPr/>
          <w:p>
            <w:pPr>
              <w:pStyle w:val="Compact"/>
              <w:jc w:val="left"/>
            </w:pPr>
            <w:r>
              <w:t xml:space="preserve">09</w:t>
            </w:r>
          </w:p>
        </w:tc>
        <w:tc>
          <w:tcPr/>
          <w:p>
            <w:pPr>
              <w:pStyle w:val="Compact"/>
              <w:jc w:val="left"/>
            </w:pPr>
            <w:r>
              <w:t xml:space="preserve">Professional Blow-Dry Hood, 2200W, with Timer – Hairdresser Salon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10</w:t>
            </w:r>
          </w:p>
        </w:tc>
        <w:tc>
          <w:tcPr/>
          <w:p>
            <w:pPr>
              <w:pStyle w:val="Compact"/>
              <w:jc w:val="left"/>
            </w:pPr>
            <w:r>
              <w:t xml:space="preserve">Hair Extension Clips, Weft Clips, and Styling Accessories – Mixed Lot</w:t>
            </w:r>
          </w:p>
        </w:tc>
        <w:tc>
          <w:tcPr/>
          <w:p>
            <w:pPr>
              <w:pStyle w:val="Compact"/>
              <w:jc w:val="left"/>
            </w:pPr>
            <w:r>
              <w:t xml:space="preserve">15</w:t>
            </w:r>
          </w:p>
        </w:tc>
        <w:tc>
          <w:tcPr/>
          <w:p>
            <w:pPr>
              <w:pStyle w:val="Compact"/>
              <w:jc w:val="left"/>
            </w:pPr>
            <w:r>
              <w:t xml:space="preserve">Sets</w:t>
            </w:r>
          </w:p>
        </w:tc>
        <w:tc>
          <w:tcPr/>
          <w:p>
            <w:pPr>
              <w:pStyle w:val="Compact"/>
              <w:jc w:val="left"/>
            </w:pPr>
            <w:r>
              <w:t xml:space="preserve">275.00</w:t>
            </w:r>
          </w:p>
        </w:tc>
        <w:tc>
          <w:tcPr/>
          <w:p>
            <w:pPr>
              <w:pStyle w:val="Compact"/>
              <w:jc w:val="left"/>
            </w:pPr>
            <w:r>
              <w:t xml:space="preserve">4,125.00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62,655.00 AED</w:t>
            </w:r>
          </w:p>
        </w:tc>
      </w:tr>
      <w:tr>
        <w:tc>
          <w:tcPr/>
          <w:p>
            <w:pPr>
              <w:pStyle w:val="Compact"/>
              <w:jc w:val="left"/>
            </w:pPr>
            <w:r>
              <w:t xml:space="preserve">VAT (5% – United Arab Emirates Dubai Standard Rate)</w:t>
            </w:r>
          </w:p>
        </w:tc>
        <w:tc>
          <w:tcPr/>
          <w:p>
            <w:pPr>
              <w:pStyle w:val="Compact"/>
              <w:jc w:val="right"/>
            </w:pPr>
            <w:r>
              <w:t xml:space="preserve">3,132.75 AED</w:t>
            </w:r>
          </w:p>
        </w:tc>
      </w:tr>
      <w:tr>
        <w:tc>
          <w:tcPr/>
          <w:p>
            <w:pPr>
              <w:pStyle w:val="Compact"/>
              <w:jc w:val="left"/>
            </w:pPr>
            <w:r>
              <w:t xml:space="preserve">Delivery &amp; Installation Fee (Dubai Metro Area)</w:t>
            </w:r>
          </w:p>
        </w:tc>
        <w:tc>
          <w:tcPr/>
          <w:p>
            <w:pPr>
              <w:pStyle w:val="Compact"/>
              <w:jc w:val="right"/>
            </w:pPr>
            <w:r>
              <w:t xml:space="preserve">1,500.00 AED</w:t>
            </w:r>
          </w:p>
        </w:tc>
      </w:tr>
      <w:tr>
        <w:tc>
          <w:tcPr/>
          <w:p>
            <w:pPr>
              <w:pStyle w:val="Compact"/>
              <w:jc w:val="left"/>
            </w:pPr>
            <w:r>
              <w:t xml:space="preserve">Grand Total (AED)</w:t>
            </w:r>
          </w:p>
        </w:tc>
        <w:tc>
          <w:tcPr/>
          <w:p>
            <w:pPr>
              <w:pStyle w:val="Compact"/>
              <w:jc w:val="right"/>
            </w:pPr>
            <w:r>
              <w:t xml:space="preserve">67,287.75 AED</w:t>
            </w:r>
          </w:p>
        </w:tc>
      </w:tr>
    </w:tbl>
    <w:p>
      <w:pPr>
        <w:pStyle w:val="BodyText"/>
      </w:pPr>
      <w:r>
        <w:t xml:space="preserve">Terms and Conditions</w:t>
      </w:r>
    </w:p>
    <w:p>
      <w:pPr>
        <w:pStyle w:val="BodyText"/>
      </w:pPr>
      <w:r>
        <w:t xml:space="preserve">1. This</w:t>
      </w:r>
      <w:r>
        <w:t xml:space="preserve"> </w:t>
      </w:r>
      <w:r>
        <w:t xml:space="preserve">Purchase Order</w:t>
      </w:r>
      <w:r>
        <w:t xml:space="preserve"> </w:t>
      </w:r>
      <w:r>
        <w:t xml:space="preserve">is issued by Golden Scissors Hair Studio LLC, a registered</w:t>
      </w:r>
      <w:r>
        <w:t xml:space="preserve"> </w:t>
      </w:r>
      <w:r>
        <w:t xml:space="preserve">Hairdresser</w:t>
      </w:r>
      <w:r>
        <w:t xml:space="preserve"> </w:t>
      </w:r>
      <w:r>
        <w:t xml:space="preserve">and beauty services establishment operating in</w:t>
      </w:r>
      <w:r>
        <w:t xml:space="preserve"> </w:t>
      </w:r>
      <w:r>
        <w:t xml:space="preserve">United Arab Emirates Dubai</w:t>
      </w:r>
      <w:r>
        <w:t xml:space="preserve">, and constitutes a binding procurement request to the supplier named above.</w:t>
      </w:r>
    </w:p>
    <w:p>
      <w:pPr>
        <w:pStyle w:val="BodyText"/>
      </w:pPr>
      <w:r>
        <w:t xml:space="preserve">2. All goods listed in this Purchase Order must comply with the standards set by the Dubai Municipality and the Emirates Authority for Standardization and Metrology (ESMA). The supplier warrants that all hairdresser equipment and consumables are new, unused, and free from defects.</w:t>
      </w:r>
    </w:p>
    <w:p>
      <w:pPr>
        <w:pStyle w:val="BodyText"/>
      </w:pPr>
      <w:r>
        <w:t xml:space="preserve">3. Delivery shall be made to the Hairdresser premises located at Marina Plaza Tower, Dubai Marina, United Arab Emirates Dubai. The supplier is responsible for all transportation, handling, and on-site installation of heavy equipment including styling chairs, shampoo bowls, and blow-dry hoods.</w:t>
      </w:r>
    </w:p>
    <w:p>
      <w:pPr>
        <w:pStyle w:val="BodyText"/>
      </w:pPr>
      <w:r>
        <w:t xml:space="preserve">4. Payment shall be processed via bank transfer to the supplier's designated account within thirty (30) calendar days from the date of the approved invoice, in accordance with the commercial practices of United Arab Emirates Dubai. Late payments shall incur a penalty of 1.5% per month as permitted under UAE Federal Decree-Law No. 18 of 2018.</w:t>
      </w:r>
    </w:p>
    <w:p>
      <w:pPr>
        <w:pStyle w:val="BodyText"/>
      </w:pPr>
      <w:r>
        <w:t xml:space="preserve">5. The supplier shall provide a minimum twelve (12) month warranty on all electrical hairdresser equipment and a six (6) month warranty on mechanical and ceramic items. Warranty claims shall be processed in accordance with the Consumer Protection Law of the United Arab Emirates.</w:t>
      </w:r>
    </w:p>
    <w:p>
      <w:pPr>
        <w:pStyle w:val="BodyText"/>
      </w:pPr>
      <w:r>
        <w:t xml:space="preserve">6. All products must be accompanied by valid certificates of conformity, MSDS (Material Safety Data Sheets) for chemical hair colouring products, and import permits where applicable under Dubai Customs regulations.</w:t>
      </w:r>
    </w:p>
    <w:p>
      <w:pPr>
        <w:pStyle w:val="BodyText"/>
      </w:pPr>
      <w:r>
        <w:t xml:space="preserve">7. This Purchase Order is governed by the laws of the United Arab Emirates, and any disputes arising from this transaction shall be subject to the exclusive jurisdiction of the Dubai Courts, United Arab Emirates Dubai.</w:t>
      </w:r>
    </w:p>
    <w:p>
      <w:pPr>
        <w:pStyle w:val="BodyText"/>
      </w:pPr>
      <w:r>
        <w:t xml:space="preserve">8. The supplier acknowledges that the goods are procured for use in a licensed Hairdresser and salon operation and agrees to provide technical training for the salon staff on the operation of all new equipment upon delivery.</w:t>
      </w:r>
    </w:p>
    <w:p>
      <w:pPr>
        <w:pStyle w:val="BodyText"/>
      </w:pPr>
      <w:r>
        <w:t xml:space="preserve">9. Any modifications to this Purchase Order must be made in writing and signed by both parties. Verbal agreements are not valid under this document.</w:t>
      </w:r>
    </w:p>
    <w:p>
      <w:pPr>
        <w:pStyle w:val="BodyText"/>
      </w:pPr>
      <w:r>
        <w:t xml:space="preserve">10. This Purchase Order is valid for acceptance within fourteen (14) days from the date of issue. Failure to confirm acceptance within this period shall render this document null and void.</w:t>
      </w:r>
    </w:p>
    <w:p>
      <w:pPr>
        <w:pStyle w:val="BodyText"/>
      </w:pPr>
      <w:r>
        <w:rPr>
          <w:bCs/>
          <w:b/>
        </w:rPr>
        <w:t xml:space="preserve">Prepared By (Buyer):</w:t>
      </w:r>
    </w:p>
    <w:p>
      <w:pPr>
        <w:pStyle w:val="BodyText"/>
      </w:pPr>
      <w:r>
        <w:t xml:space="preserve">Golden Scissors Hair Studio LLC</w:t>
      </w:r>
    </w:p>
    <w:p>
      <w:pPr>
        <w:pStyle w:val="BodyText"/>
      </w:pPr>
      <w:r>
        <w:t xml:space="preserve">Name: Fatima Al Zahra</w:t>
      </w:r>
    </w:p>
    <w:p>
      <w:pPr>
        <w:pStyle w:val="BodyText"/>
      </w:pPr>
      <w:r>
        <w:t xml:space="preserve">Title: Procurement Manager</w:t>
      </w:r>
    </w:p>
    <w:p>
      <w:pPr>
        <w:pStyle w:val="BodyText"/>
      </w:pPr>
      <w:r>
        <w:t xml:space="preserve">Signature: _________________________</w:t>
      </w:r>
    </w:p>
    <w:p>
      <w:pPr>
        <w:pStyle w:val="BodyText"/>
      </w:pPr>
      <w:r>
        <w:t xml:space="preserve">Date: 14 June 2025</w:t>
      </w:r>
    </w:p>
    <w:p>
      <w:pPr>
        <w:pStyle w:val="BodyText"/>
      </w:pPr>
      <w:r>
        <w:rPr>
          <w:bCs/>
          <w:b/>
        </w:rPr>
        <w:t xml:space="preserve">Accepted By (Supplier):</w:t>
      </w:r>
    </w:p>
    <w:p>
      <w:pPr>
        <w:pStyle w:val="BodyText"/>
      </w:pPr>
      <w:r>
        <w:t xml:space="preserve">ProStyle Professional Supplies FZE</w:t>
      </w:r>
    </w:p>
    <w:p>
      <w:pPr>
        <w:pStyle w:val="BodyText"/>
      </w:pPr>
      <w:r>
        <w:t xml:space="preserve">Name: Ahmed Al Mansoori</w:t>
      </w:r>
    </w:p>
    <w:p>
      <w:pPr>
        <w:pStyle w:val="BodyText"/>
      </w:pPr>
      <w:r>
        <w:t xml:space="preserve">Title: Sales Director</w:t>
      </w:r>
    </w:p>
    <w:p>
      <w:pPr>
        <w:pStyle w:val="BodyText"/>
      </w:pPr>
      <w:r>
        <w:t xml:space="preserve">Signature: _________________________</w:t>
      </w:r>
    </w:p>
    <w:p>
      <w:pPr>
        <w:pStyle w:val="BodyText"/>
      </w:pPr>
      <w:r>
        <w:t xml:space="preserve">Date: _______________</w:t>
      </w:r>
    </w:p>
    <w:p>
      <w:pPr>
        <w:pStyle w:val="BodyText"/>
      </w:pPr>
      <w:r>
        <w:t xml:space="preserve">This Purchase Order document was generated for use in United Arab Emirates Dubai. All transactions are subject to UAE VAT regulations (5%) as administered by the Federal Tax Authority (FTA).</w:t>
      </w:r>
    </w:p>
    <w:p>
      <w:pPr>
        <w:pStyle w:val="BodyText"/>
      </w:pPr>
      <w:r>
        <w:t xml:space="preserve">Golden Scissors Hair Studio LLC – A Licensed Hairdresser and Beauty Services Provider in Dubai, United Arab Emirates.</w:t>
      </w:r>
    </w:p>
    <w:p>
      <w:pPr>
        <w:pStyle w:val="BodyText"/>
      </w:pPr>
      <w:r>
        <w:t xml:space="preserve">Document Ref: PO-2025-00472 | Page 1 of 1 | Confidential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United Arab Emirates Dubai</dc:title>
  <dc:creator/>
  <dc:language>en</dc:language>
  <cp:keywords/>
  <dcterms:created xsi:type="dcterms:W3CDTF">2026-10-10T03:21:22Z</dcterms:created>
  <dcterms:modified xsi:type="dcterms:W3CDTF">2026-10-10T03:21:22Z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