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Hairdresser Supply Procurement Document</w:t>
      </w:r>
    </w:p>
    <w:p>
      <w:pPr>
        <w:pStyle w:val="BodyText"/>
      </w:pPr>
      <w:r>
        <w:t xml:space="preserve">Serving the United States Miami Metropolitan Area</w:t>
      </w:r>
    </w:p>
    <w:p>
      <w:pPr>
        <w:pStyle w:val="BodyText"/>
      </w:pPr>
      <w:r>
        <w:t xml:space="preserve">PO No.: MIA-HDR-2025-04872</w:t>
      </w:r>
    </w:p>
    <w:bookmarkEnd w:id="20"/>
    <w:bookmarkStart w:id="21" w:name="purchasing-party-buyer"/>
    <w:p>
      <w:pPr>
        <w:pStyle w:val="Heading3"/>
      </w:pPr>
      <w:r>
        <w:t xml:space="preserve">Purchasing Party (Buyer)</w:t>
      </w:r>
    </w:p>
    <w:p>
      <w:pPr>
        <w:pStyle w:val="FirstParagraph"/>
      </w:pPr>
      <w:r>
        <w:rPr>
          <w:bCs/>
          <w:b/>
        </w:rPr>
        <w:t xml:space="preserve">Business Name:</w:t>
      </w:r>
      <w:r>
        <w:t xml:space="preserve"> </w:t>
      </w:r>
      <w:r>
        <w:t xml:space="preserve">Miami Luxe Hair Studio LLC</w:t>
      </w:r>
    </w:p>
    <w:p>
      <w:pPr>
        <w:pStyle w:val="BodyText"/>
      </w:pPr>
      <w:r>
        <w:rPr>
          <w:bCs/>
          <w:b/>
        </w:rPr>
        <w:t xml:space="preserve">Address:</w:t>
      </w:r>
      <w:r>
        <w:t xml:space="preserve"> </w:t>
      </w:r>
      <w:r>
        <w:t xml:space="preserve">1420 Biscayne Boulevard, Suite 310, Miami, Florida 33132, United States Miami</w:t>
      </w:r>
    </w:p>
    <w:p>
      <w:pPr>
        <w:pStyle w:val="BodyText"/>
      </w:pPr>
      <w:r>
        <w:rPr>
          <w:bCs/>
          <w:b/>
        </w:rPr>
        <w:t xml:space="preserve">Phone:</w:t>
      </w:r>
      <w:r>
        <w:t xml:space="preserve"> </w:t>
      </w:r>
      <w:r>
        <w:t xml:space="preserve">(305) 555-0198</w:t>
      </w:r>
    </w:p>
    <w:p>
      <w:pPr>
        <w:pStyle w:val="BodyText"/>
      </w:pPr>
      <w:r>
        <w:rPr>
          <w:bCs/>
          <w:b/>
        </w:rPr>
        <w:t xml:space="preserve">Email:</w:t>
      </w:r>
      <w:r>
        <w:t xml:space="preserve"> </w:t>
      </w:r>
      <w:r>
        <w:t xml:space="preserve">procurement@miamiluxehair.com</w:t>
      </w:r>
    </w:p>
    <w:p>
      <w:pPr>
        <w:pStyle w:val="BodyText"/>
      </w:pPr>
      <w:r>
        <w:rPr>
          <w:bCs/>
          <w:b/>
        </w:rPr>
        <w:t xml:space="preserve">Tax ID (EIN):</w:t>
      </w:r>
      <w:r>
        <w:t xml:space="preserve"> </w:t>
      </w:r>
      <w:r>
        <w:t xml:space="preserve">82-4471903</w:t>
      </w:r>
    </w:p>
    <w:p>
      <w:pPr>
        <w:pStyle w:val="BodyText"/>
      </w:pPr>
      <w:r>
        <w:rPr>
          <w:bCs/>
          <w:b/>
        </w:rPr>
        <w:t xml:space="preserve">Contact Person:</w:t>
      </w:r>
      <w:r>
        <w:t xml:space="preserve"> </w:t>
      </w:r>
      <w:r>
        <w:t xml:space="preserve">Maria Delgado, Owner &amp; Lead Hairdresser</w:t>
      </w:r>
    </w:p>
    <w:bookmarkEnd w:id="21"/>
    <w:bookmarkStart w:id="22" w:name="supplier-vendor"/>
    <w:p>
      <w:pPr>
        <w:pStyle w:val="Heading3"/>
      </w:pPr>
      <w:r>
        <w:t xml:space="preserve">Supplier (Vendor)</w:t>
      </w:r>
    </w:p>
    <w:p>
      <w:pPr>
        <w:pStyle w:val="FirstParagraph"/>
      </w:pPr>
      <w:r>
        <w:rPr>
          <w:bCs/>
          <w:b/>
        </w:rPr>
        <w:t xml:space="preserve">Business Name:</w:t>
      </w:r>
      <w:r>
        <w:t xml:space="preserve"> </w:t>
      </w:r>
      <w:r>
        <w:t xml:space="preserve">ProStyle Hairdressing Equipment Co.</w:t>
      </w:r>
    </w:p>
    <w:p>
      <w:pPr>
        <w:pStyle w:val="BodyText"/>
      </w:pPr>
      <w:r>
        <w:rPr>
          <w:bCs/>
          <w:b/>
        </w:rPr>
        <w:t xml:space="preserve">Address:</w:t>
      </w:r>
      <w:r>
        <w:t xml:space="preserve"> </w:t>
      </w:r>
      <w:r>
        <w:t xml:space="preserve">8800 NW 27th Avenue, Miami, Florida 33142, United States Miami</w:t>
      </w:r>
    </w:p>
    <w:p>
      <w:pPr>
        <w:pStyle w:val="BodyText"/>
      </w:pPr>
      <w:r>
        <w:rPr>
          <w:bCs/>
          <w:b/>
        </w:rPr>
        <w:t xml:space="preserve">Phone:</w:t>
      </w:r>
      <w:r>
        <w:t xml:space="preserve"> </w:t>
      </w:r>
      <w:r>
        <w:t xml:space="preserve">(305) 555-0342</w:t>
      </w:r>
    </w:p>
    <w:p>
      <w:pPr>
        <w:pStyle w:val="BodyText"/>
      </w:pPr>
      <w:r>
        <w:rPr>
          <w:bCs/>
          <w:b/>
        </w:rPr>
        <w:t xml:space="preserve">Email:</w:t>
      </w:r>
      <w:r>
        <w:t xml:space="preserve"> </w:t>
      </w:r>
      <w:r>
        <w:t xml:space="preserve">sales@prostylehair.com</w:t>
      </w:r>
    </w:p>
    <w:p>
      <w:pPr>
        <w:pStyle w:val="BodyText"/>
      </w:pPr>
      <w:r>
        <w:rPr>
          <w:bCs/>
          <w:b/>
        </w:rPr>
        <w:t xml:space="preserve">Tax ID (EIN):</w:t>
      </w:r>
      <w:r>
        <w:t xml:space="preserve"> </w:t>
      </w:r>
      <w:r>
        <w:t xml:space="preserve">59-2283741</w:t>
      </w:r>
    </w:p>
    <w:p>
      <w:pPr>
        <w:pStyle w:val="BodyText"/>
      </w:pPr>
      <w:r>
        <w:rPr>
          <w:bCs/>
          <w:b/>
        </w:rPr>
        <w:t xml:space="preserve">Contact Person:</w:t>
      </w:r>
      <w:r>
        <w:t xml:space="preserve"> </w:t>
      </w:r>
      <w:r>
        <w:t xml:space="preserve">James Whitfield, Regional Sales Manager</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Delivery Location:</w:t>
      </w:r>
      <w:r>
        <w:t xml:space="preserve"> </w:t>
      </w:r>
      <w:r>
        <w:t xml:space="preserve">Miami Luxe Hair Studio, 1420 Biscayne Blvd, Miami, FL 33132</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 United States Miami Local Delivery</w:t>
      </w:r>
    </w:p>
    <w:bookmarkEnd w:id="23"/>
    <w:bookmarkStart w:id="24" w:name="purpose-of-purchase-order"/>
    <w:p>
      <w:pPr>
        <w:pStyle w:val="Heading3"/>
      </w:pPr>
      <w:r>
        <w:t xml:space="preserve">Purpose of Purchase Order</w:t>
      </w:r>
    </w:p>
    <w:p>
      <w:pPr>
        <w:pStyle w:val="FirstParagraph"/>
      </w:pPr>
      <w:r>
        <w:t xml:space="preserve">This Purchase Order is issued by Miami Luxe Hair Studio LLC to procure professional-grade hairdressing tools, styling products, and salon equipment necessary for the continued operation of our Hairdresser services in the United States Miami area. All items listed below are intended for use in our licensed Hairdresser practice and must meet the standards set forth by the Florida Board of Cosmetology.</w:t>
      </w:r>
    </w:p>
    <w:bookmarkEnd w:id="24"/>
    <w:bookmarkStart w:id="26" w:name="X7e7067b8496b784968705fa68937a486edcc03d"/>
    <w:p>
      <w:pPr>
        <w:pStyle w:val="Heading2"/>
      </w:pPr>
      <w:r>
        <w:t xml:space="preserve">Line Items – Hairdresser Professional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Professional Ceramic Hairdryer, 1875W – Hairdresser Grade</w:t>
            </w:r>
          </w:p>
        </w:tc>
        <w:tc>
          <w:tcPr/>
          <w:p>
            <w:pPr>
              <w:pStyle w:val="Compact"/>
              <w:jc w:val="left"/>
            </w:pPr>
            <w:r>
              <w:t xml:space="preserve">PS-HDR-001</w:t>
            </w:r>
          </w:p>
        </w:tc>
        <w:tc>
          <w:tcPr/>
          <w:p>
            <w:pPr>
              <w:pStyle w:val="Compact"/>
              <w:jc w:val="left"/>
            </w:pPr>
            <w:r>
              <w:t xml:space="preserve">4</w:t>
            </w:r>
          </w:p>
        </w:tc>
        <w:tc>
          <w:tcPr/>
          <w:p>
            <w:pPr>
              <w:pStyle w:val="Compact"/>
              <w:jc w:val="left"/>
            </w:pPr>
            <w:r>
              <w:t xml:space="preserve">$289.99</w:t>
            </w:r>
          </w:p>
        </w:tc>
        <w:tc>
          <w:tcPr/>
          <w:p>
            <w:pPr>
              <w:pStyle w:val="Compact"/>
              <w:jc w:val="left"/>
            </w:pPr>
            <w:r>
              <w:t xml:space="preserve">$1,159.96</w:t>
            </w:r>
          </w:p>
        </w:tc>
      </w:tr>
      <w:tr>
        <w:tc>
          <w:tcPr/>
          <w:p>
            <w:pPr>
              <w:pStyle w:val="Compact"/>
              <w:jc w:val="left"/>
            </w:pPr>
            <w:r>
              <w:t xml:space="preserve">2</w:t>
            </w:r>
          </w:p>
        </w:tc>
        <w:tc>
          <w:tcPr/>
          <w:p>
            <w:pPr>
              <w:pStyle w:val="Compact"/>
              <w:jc w:val="left"/>
            </w:pPr>
            <w:r>
              <w:t xml:space="preserve">Flat Iron, Titanium Plate, 1" – Hairdresser Professional</w:t>
            </w:r>
          </w:p>
        </w:tc>
        <w:tc>
          <w:tcPr/>
          <w:p>
            <w:pPr>
              <w:pStyle w:val="Compact"/>
              <w:jc w:val="left"/>
            </w:pPr>
            <w:r>
              <w:t xml:space="preserve">PS-HDR-002</w:t>
            </w:r>
          </w:p>
        </w:tc>
        <w:tc>
          <w:tcPr/>
          <w:p>
            <w:pPr>
              <w:pStyle w:val="Compact"/>
              <w:jc w:val="left"/>
            </w:pPr>
            <w:r>
              <w:t xml:space="preserve">6</w:t>
            </w:r>
          </w:p>
        </w:tc>
        <w:tc>
          <w:tcPr/>
          <w:p>
            <w:pPr>
              <w:pStyle w:val="Compact"/>
              <w:jc w:val="left"/>
            </w:pPr>
            <w:r>
              <w:t xml:space="preserve">$174.50</w:t>
            </w:r>
          </w:p>
        </w:tc>
        <w:tc>
          <w:tcPr/>
          <w:p>
            <w:pPr>
              <w:pStyle w:val="Compact"/>
              <w:jc w:val="left"/>
            </w:pPr>
            <w:r>
              <w:t xml:space="preserve">$1,047.00</w:t>
            </w:r>
          </w:p>
        </w:tc>
      </w:tr>
      <w:tr>
        <w:tc>
          <w:tcPr/>
          <w:p>
            <w:pPr>
              <w:pStyle w:val="Compact"/>
              <w:jc w:val="left"/>
            </w:pPr>
            <w:r>
              <w:t xml:space="preserve">3</w:t>
            </w:r>
          </w:p>
        </w:tc>
        <w:tc>
          <w:tcPr/>
          <w:p>
            <w:pPr>
              <w:pStyle w:val="Compact"/>
              <w:jc w:val="left"/>
            </w:pPr>
            <w:r>
              <w:t xml:space="preserve">Round Brush Set, Boar Bristle, 5-Piece – Hairdresser Kit</w:t>
            </w:r>
          </w:p>
        </w:tc>
        <w:tc>
          <w:tcPr/>
          <w:p>
            <w:pPr>
              <w:pStyle w:val="Compact"/>
              <w:jc w:val="left"/>
            </w:pPr>
            <w:r>
              <w:t xml:space="preserve">PS-HDR-003</w:t>
            </w:r>
          </w:p>
        </w:tc>
        <w:tc>
          <w:tcPr/>
          <w:p>
            <w:pPr>
              <w:pStyle w:val="Compact"/>
              <w:jc w:val="left"/>
            </w:pPr>
            <w:r>
              <w:t xml:space="preserve">8</w:t>
            </w:r>
          </w:p>
        </w:tc>
        <w:tc>
          <w:tcPr/>
          <w:p>
            <w:pPr>
              <w:pStyle w:val="Compact"/>
              <w:jc w:val="left"/>
            </w:pPr>
            <w:r>
              <w:t xml:space="preserve">$42.75</w:t>
            </w:r>
          </w:p>
        </w:tc>
        <w:tc>
          <w:tcPr/>
          <w:p>
            <w:pPr>
              <w:pStyle w:val="Compact"/>
              <w:jc w:val="left"/>
            </w:pPr>
            <w:r>
              <w:t xml:space="preserve">$342.00</w:t>
            </w:r>
          </w:p>
        </w:tc>
      </w:tr>
      <w:tr>
        <w:tc>
          <w:tcPr/>
          <w:p>
            <w:pPr>
              <w:pStyle w:val="Compact"/>
              <w:jc w:val="left"/>
            </w:pPr>
            <w:r>
              <w:t xml:space="preserve">4</w:t>
            </w:r>
          </w:p>
        </w:tc>
        <w:tc>
          <w:tcPr/>
          <w:p>
            <w:pPr>
              <w:pStyle w:val="Compact"/>
              <w:jc w:val="left"/>
            </w:pPr>
            <w:r>
              <w:t xml:space="preserve">Professional Shears, 7.5" Japanese Steel – Hairdresser Cut</w:t>
            </w:r>
          </w:p>
        </w:tc>
        <w:tc>
          <w:tcPr/>
          <w:p>
            <w:pPr>
              <w:pStyle w:val="Compact"/>
              <w:jc w:val="left"/>
            </w:pPr>
            <w:r>
              <w:t xml:space="preserve">PS-HDR-004</w:t>
            </w:r>
          </w:p>
        </w:tc>
        <w:tc>
          <w:tcPr/>
          <w:p>
            <w:pPr>
              <w:pStyle w:val="Compact"/>
              <w:jc w:val="left"/>
            </w:pPr>
            <w:r>
              <w:t xml:space="preserve">5</w:t>
            </w:r>
          </w:p>
        </w:tc>
        <w:tc>
          <w:tcPr/>
          <w:p>
            <w:pPr>
              <w:pStyle w:val="Compact"/>
              <w:jc w:val="left"/>
            </w:pPr>
            <w:r>
              <w:t xml:space="preserve">$312.00</w:t>
            </w:r>
          </w:p>
        </w:tc>
        <w:tc>
          <w:tcPr/>
          <w:p>
            <w:pPr>
              <w:pStyle w:val="Compact"/>
              <w:jc w:val="left"/>
            </w:pPr>
            <w:r>
              <w:t xml:space="preserve">$1,560.00</w:t>
            </w:r>
          </w:p>
        </w:tc>
      </w:tr>
      <w:tr>
        <w:tc>
          <w:tcPr/>
          <w:p>
            <w:pPr>
              <w:pStyle w:val="Compact"/>
              <w:jc w:val="left"/>
            </w:pPr>
            <w:r>
              <w:t xml:space="preserve">5</w:t>
            </w:r>
          </w:p>
        </w:tc>
        <w:tc>
          <w:tcPr/>
          <w:p>
            <w:pPr>
              <w:pStyle w:val="Compact"/>
              <w:jc w:val="left"/>
            </w:pPr>
            <w:r>
              <w:t xml:space="preserve">Thinning Shears, 6" – Hairdresser Texturizing</w:t>
            </w:r>
          </w:p>
        </w:tc>
        <w:tc>
          <w:tcPr/>
          <w:p>
            <w:pPr>
              <w:pStyle w:val="Compact"/>
              <w:jc w:val="left"/>
            </w:pPr>
            <w:r>
              <w:t xml:space="preserve">PS-HDR-005</w:t>
            </w:r>
          </w:p>
        </w:tc>
        <w:tc>
          <w:tcPr/>
          <w:p>
            <w:pPr>
              <w:pStyle w:val="Compact"/>
              <w:jc w:val="left"/>
            </w:pPr>
            <w:r>
              <w:t xml:space="preserve">5</w:t>
            </w:r>
          </w:p>
        </w:tc>
        <w:tc>
          <w:tcPr/>
          <w:p>
            <w:pPr>
              <w:pStyle w:val="Compact"/>
              <w:jc w:val="left"/>
            </w:pPr>
            <w:r>
              <w:t xml:space="preserve">$198.00</w:t>
            </w:r>
          </w:p>
        </w:tc>
        <w:tc>
          <w:tcPr/>
          <w:p>
            <w:pPr>
              <w:pStyle w:val="Compact"/>
              <w:jc w:val="left"/>
            </w:pPr>
            <w:r>
              <w:t xml:space="preserve">$990.00</w:t>
            </w:r>
          </w:p>
        </w:tc>
      </w:tr>
      <w:tr>
        <w:tc>
          <w:tcPr/>
          <w:p>
            <w:pPr>
              <w:pStyle w:val="Compact"/>
              <w:jc w:val="left"/>
            </w:pPr>
            <w:r>
              <w:t xml:space="preserve">6</w:t>
            </w:r>
          </w:p>
        </w:tc>
        <w:tc>
          <w:tcPr/>
          <w:p>
            <w:pPr>
              <w:pStyle w:val="Compact"/>
              <w:jc w:val="left"/>
            </w:pPr>
            <w:r>
              <w:t xml:space="preserve">Salon Chair, Hydraulic, Leather – United States Miami Standard</w:t>
            </w:r>
          </w:p>
        </w:tc>
        <w:tc>
          <w:tcPr/>
          <w:p>
            <w:pPr>
              <w:pStyle w:val="Compact"/>
              <w:jc w:val="left"/>
            </w:pPr>
            <w:r>
              <w:t xml:space="preserve">PS-HDR-006</w:t>
            </w:r>
          </w:p>
        </w:tc>
        <w:tc>
          <w:tcPr/>
          <w:p>
            <w:pPr>
              <w:pStyle w:val="Compact"/>
              <w:jc w:val="left"/>
            </w:pPr>
            <w:r>
              <w:t xml:space="preserve">3</w:t>
            </w:r>
          </w:p>
        </w:tc>
        <w:tc>
          <w:tcPr/>
          <w:p>
            <w:pPr>
              <w:pStyle w:val="Compact"/>
              <w:jc w:val="left"/>
            </w:pPr>
            <w:r>
              <w:t xml:space="preserve">$1,245.00</w:t>
            </w:r>
          </w:p>
        </w:tc>
        <w:tc>
          <w:tcPr/>
          <w:p>
            <w:pPr>
              <w:pStyle w:val="Compact"/>
              <w:jc w:val="left"/>
            </w:pPr>
            <w:r>
              <w:t xml:space="preserve">$3,735.00</w:t>
            </w:r>
          </w:p>
        </w:tc>
      </w:tr>
      <w:tr>
        <w:tc>
          <w:tcPr/>
          <w:p>
            <w:pPr>
              <w:pStyle w:val="Compact"/>
              <w:jc w:val="left"/>
            </w:pPr>
            <w:r>
              <w:t xml:space="preserve">7</w:t>
            </w:r>
          </w:p>
        </w:tc>
        <w:tc>
          <w:tcPr/>
          <w:p>
            <w:pPr>
              <w:pStyle w:val="Compact"/>
              <w:jc w:val="left"/>
            </w:pPr>
            <w:r>
              <w:t xml:space="preserve">Styling Station, 6-Seat, with Backsplash – Hairdresser Row</w:t>
            </w:r>
          </w:p>
        </w:tc>
        <w:tc>
          <w:tcPr/>
          <w:p>
            <w:pPr>
              <w:pStyle w:val="Compact"/>
              <w:jc w:val="left"/>
            </w:pPr>
            <w:r>
              <w:t xml:space="preserve">PS-HDR-007</w:t>
            </w:r>
          </w:p>
        </w:tc>
        <w:tc>
          <w:tcPr/>
          <w:p>
            <w:pPr>
              <w:pStyle w:val="Compact"/>
              <w:jc w:val="left"/>
            </w:pPr>
            <w:r>
              <w:t xml:space="preserve">1</w:t>
            </w:r>
          </w:p>
        </w:tc>
        <w:tc>
          <w:tcPr/>
          <w:p>
            <w:pPr>
              <w:pStyle w:val="Compact"/>
              <w:jc w:val="left"/>
            </w:pPr>
            <w:r>
              <w:t xml:space="preserve">$4,890.00</w:t>
            </w:r>
          </w:p>
        </w:tc>
        <w:tc>
          <w:tcPr/>
          <w:p>
            <w:pPr>
              <w:pStyle w:val="Compact"/>
              <w:jc w:val="left"/>
            </w:pPr>
            <w:r>
              <w:t xml:space="preserve">$4,890.00</w:t>
            </w:r>
          </w:p>
        </w:tc>
      </w:tr>
      <w:tr>
        <w:tc>
          <w:tcPr/>
          <w:p>
            <w:pPr>
              <w:pStyle w:val="Compact"/>
              <w:jc w:val="left"/>
            </w:pPr>
            <w:r>
              <w:t xml:space="preserve">8</w:t>
            </w:r>
          </w:p>
        </w:tc>
        <w:tc>
          <w:tcPr/>
          <w:p>
            <w:pPr>
              <w:pStyle w:val="Compact"/>
              <w:jc w:val="left"/>
            </w:pPr>
            <w:r>
              <w:t xml:space="preserve">Color Mixing Bowls, 12-Piece Set – Hairdresser Color Service</w:t>
            </w:r>
          </w:p>
        </w:tc>
        <w:tc>
          <w:tcPr/>
          <w:p>
            <w:pPr>
              <w:pStyle w:val="Compact"/>
              <w:jc w:val="left"/>
            </w:pPr>
            <w:r>
              <w:t xml:space="preserve">PS-HDR-008</w:t>
            </w:r>
          </w:p>
        </w:tc>
        <w:tc>
          <w:tcPr/>
          <w:p>
            <w:pPr>
              <w:pStyle w:val="Compact"/>
              <w:jc w:val="left"/>
            </w:pPr>
            <w:r>
              <w:t xml:space="preserve">10</w:t>
            </w:r>
          </w:p>
        </w:tc>
        <w:tc>
          <w:tcPr/>
          <w:p>
            <w:pPr>
              <w:pStyle w:val="Compact"/>
              <w:jc w:val="left"/>
            </w:pPr>
            <w:r>
              <w:t xml:space="preserve">$28.50</w:t>
            </w:r>
          </w:p>
        </w:tc>
        <w:tc>
          <w:tcPr/>
          <w:p>
            <w:pPr>
              <w:pStyle w:val="Compact"/>
              <w:jc w:val="left"/>
            </w:pPr>
            <w:r>
              <w:t xml:space="preserve">$285.00</w:t>
            </w:r>
          </w:p>
        </w:tc>
      </w:tr>
      <w:tr>
        <w:tc>
          <w:tcPr/>
          <w:p>
            <w:pPr>
              <w:pStyle w:val="Compact"/>
              <w:jc w:val="left"/>
            </w:pPr>
            <w:r>
              <w:t xml:space="preserve">9</w:t>
            </w:r>
          </w:p>
        </w:tc>
        <w:tc>
          <w:tcPr/>
          <w:p>
            <w:pPr>
              <w:pStyle w:val="Compact"/>
              <w:jc w:val="left"/>
            </w:pPr>
            <w:r>
              <w:t xml:space="preserve">Professional Shampoo Bowl, Porcelain, with Neck Rest</w:t>
            </w:r>
          </w:p>
        </w:tc>
        <w:tc>
          <w:tcPr/>
          <w:p>
            <w:pPr>
              <w:pStyle w:val="Compact"/>
              <w:jc w:val="left"/>
            </w:pPr>
            <w:r>
              <w:t xml:space="preserve">PS-HDR-009</w:t>
            </w:r>
          </w:p>
        </w:tc>
        <w:tc>
          <w:tcPr/>
          <w:p>
            <w:pPr>
              <w:pStyle w:val="Compact"/>
              <w:jc w:val="left"/>
            </w:pPr>
            <w:r>
              <w:t xml:space="preserve">2</w:t>
            </w:r>
          </w:p>
        </w:tc>
        <w:tc>
          <w:tcPr/>
          <w:p>
            <w:pPr>
              <w:pStyle w:val="Compact"/>
              <w:jc w:val="left"/>
            </w:pPr>
            <w:r>
              <w:t xml:space="preserve">$1,120.00</w:t>
            </w:r>
          </w:p>
        </w:tc>
        <w:tc>
          <w:tcPr/>
          <w:p>
            <w:pPr>
              <w:pStyle w:val="Compact"/>
              <w:jc w:val="left"/>
            </w:pPr>
            <w:r>
              <w:t xml:space="preserve">$2,240.00</w:t>
            </w:r>
          </w:p>
        </w:tc>
      </w:tr>
      <w:tr>
        <w:tc>
          <w:tcPr/>
          <w:p>
            <w:pPr>
              <w:pStyle w:val="Compact"/>
              <w:jc w:val="left"/>
            </w:pPr>
            <w:r>
              <w:t xml:space="preserve">10</w:t>
            </w:r>
          </w:p>
        </w:tc>
        <w:tc>
          <w:tcPr/>
          <w:p>
            <w:pPr>
              <w:pStyle w:val="Compact"/>
              <w:jc w:val="left"/>
            </w:pPr>
            <w:r>
              <w:t xml:space="preserve">Hair Color Line, Ammonia-Free, 24 Shades – Hairdresser Use</w:t>
            </w:r>
          </w:p>
        </w:tc>
        <w:tc>
          <w:tcPr/>
          <w:p>
            <w:pPr>
              <w:pStyle w:val="Compact"/>
              <w:jc w:val="left"/>
            </w:pPr>
            <w:r>
              <w:t xml:space="preserve">PS-HDR-010</w:t>
            </w:r>
          </w:p>
        </w:tc>
        <w:tc>
          <w:tcPr/>
          <w:p>
            <w:pPr>
              <w:pStyle w:val="Compact"/>
              <w:jc w:val="left"/>
            </w:pPr>
            <w:r>
              <w:t xml:space="preserve">30</w:t>
            </w:r>
          </w:p>
        </w:tc>
        <w:tc>
          <w:tcPr/>
          <w:p>
            <w:pPr>
              <w:pStyle w:val="Compact"/>
              <w:jc w:val="left"/>
            </w:pPr>
            <w:r>
              <w:t xml:space="preserve">$18.99</w:t>
            </w:r>
          </w:p>
        </w:tc>
        <w:tc>
          <w:tcPr/>
          <w:p>
            <w:pPr>
              <w:pStyle w:val="Compact"/>
              <w:jc w:val="left"/>
            </w:pPr>
            <w:r>
              <w:t xml:space="preserve">$569.70</w:t>
            </w:r>
          </w:p>
        </w:tc>
      </w:tr>
      <w:tr>
        <w:tc>
          <w:tcPr/>
          <w:p>
            <w:pPr>
              <w:pStyle w:val="Compact"/>
              <w:jc w:val="left"/>
            </w:pPr>
            <w:r>
              <w:t xml:space="preserve">11</w:t>
            </w:r>
          </w:p>
        </w:tc>
        <w:tc>
          <w:tcPr/>
          <w:p>
            <w:pPr>
              <w:pStyle w:val="Compact"/>
              <w:jc w:val="left"/>
            </w:pPr>
            <w:r>
              <w:t xml:space="preserve">Styling Products Bundle (Gel, Mousse, Spray, Wax) – Hairdresser</w:t>
            </w:r>
          </w:p>
        </w:tc>
        <w:tc>
          <w:tcPr/>
          <w:p>
            <w:pPr>
              <w:pStyle w:val="Compact"/>
              <w:jc w:val="left"/>
            </w:pPr>
            <w:r>
              <w:t xml:space="preserve">PS-HDR-011</w:t>
            </w:r>
          </w:p>
        </w:tc>
        <w:tc>
          <w:tcPr/>
          <w:p>
            <w:pPr>
              <w:pStyle w:val="Compact"/>
              <w:jc w:val="left"/>
            </w:pPr>
            <w:r>
              <w:t xml:space="preserve">20</w:t>
            </w:r>
          </w:p>
        </w:tc>
        <w:tc>
          <w:tcPr/>
          <w:p>
            <w:pPr>
              <w:pStyle w:val="Compact"/>
              <w:jc w:val="left"/>
            </w:pPr>
            <w:r>
              <w:t xml:space="preserve">$64.00</w:t>
            </w:r>
          </w:p>
        </w:tc>
        <w:tc>
          <w:tcPr/>
          <w:p>
            <w:pPr>
              <w:pStyle w:val="Compact"/>
              <w:jc w:val="left"/>
            </w:pPr>
            <w:r>
              <w:t xml:space="preserve">$1,280.00</w:t>
            </w:r>
          </w:p>
        </w:tc>
      </w:tr>
      <w:tr>
        <w:tc>
          <w:tcPr/>
          <w:p>
            <w:pPr>
              <w:pStyle w:val="Compact"/>
              <w:jc w:val="left"/>
            </w:pPr>
            <w:r>
              <w:t xml:space="preserve">12</w:t>
            </w:r>
          </w:p>
        </w:tc>
        <w:tc>
          <w:tcPr/>
          <w:p>
            <w:pPr>
              <w:pStyle w:val="Compact"/>
              <w:jc w:val="left"/>
            </w:pPr>
            <w:r>
              <w:t xml:space="preserve">Capes, Disposable, 100-Pack – Hairdresser Cutting Service</w:t>
            </w:r>
          </w:p>
        </w:tc>
        <w:tc>
          <w:tcPr/>
          <w:p>
            <w:pPr>
              <w:pStyle w:val="Compact"/>
              <w:jc w:val="left"/>
            </w:pPr>
            <w:r>
              <w:t xml:space="preserve">PS-HDR-012</w:t>
            </w:r>
          </w:p>
        </w:tc>
        <w:tc>
          <w:tcPr/>
          <w:p>
            <w:pPr>
              <w:pStyle w:val="Compact"/>
              <w:jc w:val="left"/>
            </w:pPr>
            <w:r>
              <w:t xml:space="preserve">15</w:t>
            </w:r>
          </w:p>
        </w:tc>
        <w:tc>
          <w:tcPr/>
          <w:p>
            <w:pPr>
              <w:pStyle w:val="Compact"/>
              <w:jc w:val="left"/>
            </w:pPr>
            <w:r>
              <w:t xml:space="preserve">$32.00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$19,578.66</w:t>
            </w:r>
          </w:p>
        </w:tc>
      </w:tr>
      <w:tr>
        <w:tc>
          <w:tcPr/>
          <w:p>
            <w:pPr>
              <w:pStyle w:val="Compact"/>
              <w:jc w:val="right"/>
            </w:pPr>
            <w:r>
              <w:t xml:space="preserve">Florida Sales Tax (6.5%):</w:t>
            </w:r>
          </w:p>
        </w:tc>
        <w:tc>
          <w:tcPr/>
          <w:p>
            <w:pPr>
              <w:pStyle w:val="Compact"/>
              <w:jc w:val="left"/>
            </w:pPr>
            <w:r>
              <w:t xml:space="preserve">$1,272.61</w:t>
            </w:r>
          </w:p>
        </w:tc>
      </w:tr>
      <w:tr>
        <w:tc>
          <w:tcPr/>
          <w:p>
            <w:pPr>
              <w:pStyle w:val="Compact"/>
              <w:jc w:val="right"/>
            </w:pPr>
            <w:r>
              <w:t xml:space="preserve">Local Delivery Fee – United States Miami:</w:t>
            </w:r>
          </w:p>
        </w:tc>
        <w:tc>
          <w:tcPr/>
          <w:p>
            <w:pPr>
              <w:pStyle w:val="Compact"/>
              <w:jc w:val="left"/>
            </w:pPr>
            <w:r>
              <w:t xml:space="preserve">$185.00</w:t>
            </w:r>
          </w:p>
        </w:tc>
      </w:tr>
      <w:tr>
        <w:tc>
          <w:tcPr/>
          <w:p>
            <w:pPr>
              <w:pStyle w:val="Compact"/>
              <w:jc w:val="right"/>
            </w:pPr>
            <w:r>
              <w:t xml:space="preserve">GRAND TOTAL (USD):</w:t>
            </w:r>
          </w:p>
        </w:tc>
        <w:tc>
          <w:tcPr/>
          <w:p>
            <w:pPr>
              <w:pStyle w:val="Compact"/>
              <w:jc w:val="left"/>
            </w:pPr>
            <w:r>
              <w:t xml:space="preserve">$21,036.27</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valid for a period of thirty (30) calendar days from the date of issuance. The supplier must acknowledge receipt and confirm acceptance in writing within five (5) business days.</w:t>
      </w:r>
    </w:p>
    <w:p>
      <w:pPr>
        <w:numPr>
          <w:ilvl w:val="0"/>
          <w:numId w:val="1001"/>
        </w:numPr>
        <w:pStyle w:val="Compact"/>
      </w:pPr>
      <w:r>
        <w:t xml:space="preserve">All items listed in this Purchase Order are specifically procured for the operation of a licensed Hairdresser business located in the United States Miami metropolitan area. The supplier warrants that all products comply with applicable Florida state regulations and United States federal safety standards for professional hairdressing equipment.</w:t>
      </w:r>
    </w:p>
    <w:p>
      <w:pPr>
        <w:numPr>
          <w:ilvl w:val="0"/>
          <w:numId w:val="1001"/>
        </w:numPr>
        <w:pStyle w:val="Compact"/>
      </w:pPr>
      <w:r>
        <w:t xml:space="preserve">Delivery shall be made to the address specified above in Miami, Florida. The supplier is responsible for all shipping, handling, and insurance costs associated with transporting the goods within the United States Miami delivery zone.</w:t>
      </w:r>
    </w:p>
    <w:p>
      <w:pPr>
        <w:numPr>
          <w:ilvl w:val="0"/>
          <w:numId w:val="1001"/>
        </w:numPr>
        <w:pStyle w:val="Compact"/>
      </w:pPr>
      <w:r>
        <w:t xml:space="preserve">Payment shall be made via ACH bank transfer or certified check within thirty (30) days of the invoice date, provided all items have been received in satisfactory condition. Late payments shall accrue interest at a rate of 1.5% per month.</w:t>
      </w:r>
    </w:p>
    <w:p>
      <w:pPr>
        <w:numPr>
          <w:ilvl w:val="0"/>
          <w:numId w:val="1001"/>
        </w:numPr>
        <w:pStyle w:val="Compact"/>
      </w:pPr>
      <w:r>
        <w:t xml:space="preserve">The supplier guarantees a minimum of twelve (12) months warranty on all mechanical and electrical Hairdresser equipment (items 1, 2, 6, 7, and 9). Consumable products (items 3, 8, 10, 11, and 12) are covered under a thirty (30) day defect replacement policy.</w:t>
      </w:r>
    </w:p>
    <w:p>
      <w:pPr>
        <w:numPr>
          <w:ilvl w:val="0"/>
          <w:numId w:val="1001"/>
        </w:numPr>
        <w:pStyle w:val="Compact"/>
      </w:pPr>
      <w:r>
        <w:t xml:space="preserve">Any discrepancies in quantity, quality, or specification must be reported to the purchasing party within seven (7) business days of delivery. Failure to report within this window shall constitute acceptance of the goods as delivered.</w:t>
      </w:r>
    </w:p>
    <w:p>
      <w:pPr>
        <w:numPr>
          <w:ilvl w:val="0"/>
          <w:numId w:val="1001"/>
        </w:numPr>
        <w:pStyle w:val="Compact"/>
      </w:pPr>
      <w:r>
        <w:t xml:space="preserve">This Purchase Order is governed by the laws of the State of Florida, United States. Any disputes arising from this Purchase Order shall be resolved through binding arbitration in Miami-Dade County, United States Miami, in accordance with the rules of the American Arbitration Association.</w:t>
      </w:r>
    </w:p>
    <w:p>
      <w:pPr>
        <w:numPr>
          <w:ilvl w:val="0"/>
          <w:numId w:val="1001"/>
        </w:numPr>
        <w:pStyle w:val="Compact"/>
      </w:pPr>
      <w:r>
        <w:t xml:space="preserve">The supplier acknowledges that Miami Luxe Hair Studio LLC is a registered Hairdresser and cosmetology practice operating under Florida License No. FL-COS-2024-8871, and all equipment purchased herein is intended exclusively for professional Hairdresser use in the United States Miami area.</w:t>
      </w:r>
    </w:p>
    <w:p>
      <w:pPr>
        <w:numPr>
          <w:ilvl w:val="0"/>
          <w:numId w:val="1001"/>
        </w:numPr>
        <w:pStyle w:val="Compact"/>
      </w:pPr>
      <w:r>
        <w:t xml:space="preserve">Neither party shall be liable for delays or non-performance caused by acts of God, natural disasters, or other force majeure events, including but not limited to tropical weather events common to the United States Miami region.</w:t>
      </w:r>
    </w:p>
    <w:p>
      <w:pPr>
        <w:numPr>
          <w:ilvl w:val="0"/>
          <w:numId w:val="1001"/>
        </w:numPr>
        <w:pStyle w:val="Compact"/>
      </w:pPr>
      <w:r>
        <w:t xml:space="preserve">This Purchase Order, once signed by both parties, constitutes the entire agreement between the buyer and the supplier regarding the procurement of the listed Hairdresser supplies and supersedes all prior negotiations, representations, or agreements.</w:t>
      </w:r>
    </w:p>
    <w:bookmarkEnd w:id="25"/>
    <w:p>
      <w:pPr>
        <w:pStyle w:val="FirstParagraph"/>
      </w:pPr>
      <w:r>
        <w:rPr>
          <w:bCs/>
          <w:b/>
        </w:rPr>
        <w:t xml:space="preserve">Authorized Signature – Buyer</w:t>
      </w:r>
    </w:p>
    <w:p>
      <w:pPr>
        <w:pStyle w:val="BodyText"/>
      </w:pPr>
      <w:r>
        <w:t xml:space="preserve">Maria Delgado</w:t>
      </w:r>
      <w:r>
        <w:br/>
      </w:r>
      <w:r>
        <w:t xml:space="preserve">Owner &amp; Lead Hairdresser</w:t>
      </w:r>
      <w:r>
        <w:br/>
      </w:r>
      <w:r>
        <w:t xml:space="preserve">Miami Luxe Hair Studio LLC</w:t>
      </w:r>
      <w:r>
        <w:br/>
      </w:r>
      <w:r>
        <w:t xml:space="preserve">Date: _______________</w:t>
      </w:r>
    </w:p>
    <w:p>
      <w:pPr>
        <w:pStyle w:val="BodyText"/>
      </w:pPr>
      <w:r>
        <w:rPr>
          <w:bCs/>
          <w:b/>
        </w:rPr>
        <w:t xml:space="preserve">Authorized Signature – Supplier</w:t>
      </w:r>
    </w:p>
    <w:p>
      <w:pPr>
        <w:pStyle w:val="BodyText"/>
      </w:pPr>
      <w:r>
        <w:t xml:space="preserve">James Whitfield</w:t>
      </w:r>
      <w:r>
        <w:br/>
      </w:r>
      <w:r>
        <w:t xml:space="preserve">Regional Sales Manager</w:t>
      </w:r>
      <w:r>
        <w:br/>
      </w:r>
      <w:r>
        <w:t xml:space="preserve">ProStyle Hairdressing Equipment Co.</w:t>
      </w:r>
      <w:r>
        <w:br/>
      </w:r>
      <w:r>
        <w:t xml:space="preserve">Date: _______________</w:t>
      </w:r>
    </w:p>
    <w:p>
      <w:pPr>
        <w:pStyle w:val="BodyText"/>
      </w:pPr>
      <w:r>
        <w:t xml:space="preserve">Purchase Order No. MIA-HDR-2025-04872 | Issued for Hairdresser Professional Use | United States Miami, Florida</w:t>
      </w:r>
    </w:p>
    <w:p>
      <w:pPr>
        <w:pStyle w:val="BodyText"/>
      </w:pPr>
      <w:r>
        <w:t xml:space="preserve">This document is the property of Miami Luxe Hair Studio LLC.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United States Miami</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